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A3C82" w14:textId="77777777" w:rsidR="00AC7CE7" w:rsidRPr="002A0CE7" w:rsidRDefault="0014010C" w:rsidP="00AC7CE7">
      <w:pPr>
        <w:jc w:val="center"/>
        <w:rPr>
          <w:rFonts w:ascii="Arial" w:hAnsi="Arial" w:cs="Arial"/>
          <w:bCs/>
          <w:iCs/>
          <w:sz w:val="22"/>
          <w:szCs w:val="22"/>
          <w:lang w:val="es-CO" w:eastAsia="es-CO"/>
        </w:rPr>
      </w:pPr>
      <w:r w:rsidRPr="002A0CE7">
        <w:rPr>
          <w:rFonts w:ascii="Arial" w:hAnsi="Arial" w:cs="Arial"/>
          <w:bCs/>
          <w:iCs/>
          <w:sz w:val="22"/>
          <w:szCs w:val="22"/>
          <w:lang w:val="es-CO" w:eastAsia="es-CO"/>
        </w:rPr>
        <w:t>MEMORANDO</w:t>
      </w:r>
    </w:p>
    <w:p w14:paraId="24101DB2" w14:textId="77777777" w:rsidR="002704BF" w:rsidRPr="002A0CE7" w:rsidRDefault="002704BF" w:rsidP="00AC7CE7">
      <w:pPr>
        <w:jc w:val="center"/>
        <w:rPr>
          <w:rFonts w:ascii="Arial" w:hAnsi="Arial" w:cs="Arial"/>
          <w:bCs/>
          <w:iCs/>
          <w:sz w:val="22"/>
          <w:szCs w:val="22"/>
          <w:lang w:val="es-CO" w:eastAsia="es-CO"/>
        </w:rPr>
      </w:pPr>
    </w:p>
    <w:p w14:paraId="195000AC" w14:textId="77777777" w:rsidR="00522E73" w:rsidRDefault="00522E73" w:rsidP="00522E73">
      <w:pPr>
        <w:jc w:val="right"/>
      </w:pPr>
      <w:r>
        <w:rPr>
          <w:rFonts w:ascii="Arial" w:hAnsi="Arial" w:cs="Arial"/>
          <w:sz w:val="22"/>
          <w:szCs w:val="22"/>
          <w:lang w:val="es-CO" w:eastAsia="es-CO"/>
        </w:rPr>
        <w:t xml:space="preserve">Radicado IDRD No. </w:t>
      </w:r>
      <w:r w:rsidRPr="002A0CE7">
        <w:rPr>
          <w:rFonts w:ascii="Arial" w:hAnsi="Arial" w:cs="Arial"/>
          <w:bCs/>
          <w:iCs/>
          <w:sz w:val="22"/>
          <w:szCs w:val="22"/>
          <w:lang w:val="es-CO"/>
        </w:rPr>
        <w:t>*RAD_S*</w:t>
      </w:r>
    </w:p>
    <w:p w14:paraId="2D367325" w14:textId="77777777" w:rsidR="00265C18" w:rsidRDefault="00840480">
      <w:pPr>
        <w:jc w:val="right"/>
        <w:rPr>
          <w:rFonts w:ascii="Code3of9" w:hAnsi="Code3of9"/>
          <w:bCs/>
          <w:iCs/>
          <w:sz w:val="44"/>
          <w:szCs w:val="44"/>
          <w:lang w:val="en-US" w:eastAsia="es-CO"/>
        </w:rPr>
      </w:pPr>
      <w:r>
        <w:rPr>
          <w:rFonts w:ascii="Code3of9" w:hAnsi="Code3of9"/>
          <w:bCs/>
          <w:iCs/>
          <w:sz w:val="44"/>
          <w:szCs w:val="44"/>
          <w:lang w:val="en-US" w:eastAsia="es-CO"/>
        </w:rPr>
        <w:t>**RAD_S**</w:t>
      </w:r>
    </w:p>
    <w:p w14:paraId="1CEC0FCF" w14:textId="77777777" w:rsidR="00265C18" w:rsidRDefault="00265C18">
      <w:pPr>
        <w:rPr>
          <w:rFonts w:ascii="Arial Narrow" w:hAnsi="Arial Narrow" w:cs="Arial"/>
          <w:lang w:val="en-US"/>
        </w:rPr>
      </w:pPr>
    </w:p>
    <w:p w14:paraId="272748F9" w14:textId="026977B2" w:rsidR="00265C18" w:rsidRDefault="00336356" w:rsidP="00EB4E18">
      <w:pPr>
        <w:rPr>
          <w:rFonts w:ascii="Arial" w:hAnsi="Arial" w:cs="Arial"/>
          <w:sz w:val="22"/>
          <w:szCs w:val="22"/>
          <w:lang w:val="en-US"/>
        </w:rPr>
      </w:pPr>
      <w:r>
        <w:rPr>
          <w:rFonts w:ascii="Arial" w:hAnsi="Arial" w:cs="Arial"/>
          <w:sz w:val="22"/>
          <w:szCs w:val="22"/>
          <w:lang w:val="en-US"/>
        </w:rPr>
        <w:t xml:space="preserve">Bogotá D.C. </w:t>
      </w:r>
      <w:r w:rsidR="0018442B" w:rsidRPr="0018442B">
        <w:rPr>
          <w:rFonts w:ascii="Arial" w:hAnsi="Arial" w:cs="Arial"/>
          <w:sz w:val="22"/>
          <w:szCs w:val="22"/>
        </w:rPr>
        <w:t>*F_FECHA*</w:t>
      </w:r>
    </w:p>
    <w:p w14:paraId="29274AF4" w14:textId="77777777" w:rsidR="002173F6" w:rsidRPr="005118E2" w:rsidRDefault="002173F6">
      <w:pPr>
        <w:rPr>
          <w:lang w:val="en-US"/>
        </w:rPr>
        <w:sectPr w:rsidR="002173F6" w:rsidRPr="005118E2" w:rsidSect="005D5692">
          <w:headerReference w:type="default" r:id="rId8"/>
          <w:footerReference w:type="default" r:id="rId9"/>
          <w:headerReference w:type="first" r:id="rId10"/>
          <w:footerReference w:type="first" r:id="rId11"/>
          <w:pgSz w:w="12242" w:h="15842"/>
          <w:pgMar w:top="1172" w:right="1701" w:bottom="1701" w:left="1701" w:header="567" w:footer="397" w:gutter="0"/>
          <w:cols w:space="720"/>
          <w:titlePg/>
          <w:docGrid w:linePitch="326"/>
        </w:sectPr>
      </w:pPr>
    </w:p>
    <w:p w14:paraId="68992270" w14:textId="77777777" w:rsidR="002352E5" w:rsidRDefault="002352E5" w:rsidP="00E7193C">
      <w:pPr>
        <w:jc w:val="both"/>
        <w:rPr>
          <w:rFonts w:ascii="Arial" w:hAnsi="Arial" w:cs="Arial"/>
          <w:sz w:val="22"/>
          <w:szCs w:val="22"/>
          <w:lang w:val="en-US"/>
        </w:rPr>
      </w:pPr>
    </w:p>
    <w:p w14:paraId="67943539" w14:textId="77777777" w:rsidR="002352E5" w:rsidRDefault="002352E5" w:rsidP="00E7193C">
      <w:pPr>
        <w:jc w:val="both"/>
        <w:rPr>
          <w:rFonts w:ascii="Arial" w:hAnsi="Arial" w:cs="Arial"/>
          <w:sz w:val="22"/>
          <w:szCs w:val="22"/>
          <w:lang w:val="en-US"/>
        </w:rPr>
      </w:pPr>
    </w:p>
    <w:p w14:paraId="1A4AF7AC" w14:textId="26008F7B" w:rsidR="006F53B4" w:rsidRDefault="00D662F9" w:rsidP="00B77C7A">
      <w:pPr>
        <w:spacing w:line="265" w:lineRule="auto"/>
        <w:ind w:left="-3" w:hanging="10"/>
      </w:pPr>
      <w:sdt>
        <w:sdtPr>
          <w:rPr>
            <w:rFonts w:ascii="Arial" w:hAnsi="Arial" w:cs="Arial"/>
            <w:sz w:val="22"/>
            <w:szCs w:val="22"/>
          </w:rPr>
          <w:id w:val="-1670553608"/>
          <w:lock w:val="sdtContentLocked"/>
          <w:placeholder>
            <w:docPart w:val="DefaultPlaceholder_-1854013440"/>
          </w:placeholder>
        </w:sdtPr>
        <w:sdtEndPr/>
        <w:sdtContent>
          <w:r w:rsidR="008D2773" w:rsidRPr="001F0FA0">
            <w:rPr>
              <w:rFonts w:ascii="Arial" w:hAnsi="Arial" w:cs="Arial"/>
              <w:sz w:val="22"/>
              <w:szCs w:val="22"/>
            </w:rPr>
            <w:t>PARA:</w:t>
          </w:r>
        </w:sdtContent>
      </w:sdt>
      <w:r w:rsidR="008D2773" w:rsidRPr="001F0FA0">
        <w:rPr>
          <w:rFonts w:ascii="Arial" w:hAnsi="Arial" w:cs="Arial"/>
          <w:sz w:val="22"/>
          <w:szCs w:val="22"/>
        </w:rPr>
        <w:tab/>
      </w:r>
      <w:r w:rsidR="006F53B4">
        <w:rPr>
          <w:rFonts w:ascii="Arial" w:hAnsi="Arial" w:cs="Arial"/>
          <w:sz w:val="22"/>
          <w:szCs w:val="22"/>
        </w:rPr>
        <w:t xml:space="preserve">            </w:t>
      </w:r>
      <w:r w:rsidR="006F53B4">
        <w:rPr>
          <w:rFonts w:ascii="Arial" w:eastAsia="Arial" w:hAnsi="Arial" w:cs="Arial"/>
          <w:b/>
        </w:rPr>
        <w:t>DANIELA BARRERA PEDRAZA</w:t>
      </w:r>
    </w:p>
    <w:p w14:paraId="490C35EF" w14:textId="77777777" w:rsidR="006F53B4" w:rsidRDefault="006F53B4" w:rsidP="00B77C7A">
      <w:pPr>
        <w:spacing w:after="4" w:line="250" w:lineRule="auto"/>
        <w:ind w:left="1426" w:right="42" w:hanging="10"/>
        <w:jc w:val="both"/>
      </w:pPr>
      <w:r>
        <w:rPr>
          <w:rFonts w:ascii="Arial" w:eastAsia="Arial" w:hAnsi="Arial" w:cs="Arial"/>
        </w:rPr>
        <w:t>Subdirectora de Contratación</w:t>
      </w:r>
    </w:p>
    <w:p w14:paraId="747DF15B" w14:textId="77777777" w:rsidR="006F53B4" w:rsidRDefault="006F53B4" w:rsidP="00B77C7A">
      <w:pPr>
        <w:spacing w:after="242" w:line="250" w:lineRule="auto"/>
        <w:ind w:left="1426" w:right="42" w:hanging="10"/>
        <w:jc w:val="both"/>
      </w:pPr>
      <w:r>
        <w:rPr>
          <w:rFonts w:ascii="Arial" w:eastAsia="Arial" w:hAnsi="Arial" w:cs="Arial"/>
        </w:rPr>
        <w:t>Responsable Área de Costos y Estudios Económicos</w:t>
      </w:r>
    </w:p>
    <w:p w14:paraId="5BB5589B" w14:textId="77777777" w:rsidR="008D2773" w:rsidRPr="001F0FA0" w:rsidRDefault="008D2773" w:rsidP="0067046C">
      <w:pPr>
        <w:jc w:val="both"/>
        <w:rPr>
          <w:rFonts w:ascii="Arial" w:hAnsi="Arial" w:cs="Arial"/>
          <w:sz w:val="22"/>
          <w:szCs w:val="22"/>
        </w:rPr>
      </w:pPr>
    </w:p>
    <w:p w14:paraId="431E40B3" w14:textId="3D55D254" w:rsidR="006F53B4" w:rsidRPr="00715CD5" w:rsidRDefault="00D662F9" w:rsidP="00E7193C">
      <w:pPr>
        <w:jc w:val="both"/>
        <w:rPr>
          <w:rFonts w:ascii="Arial" w:eastAsia="Arial" w:hAnsi="Arial" w:cs="Arial"/>
          <w:b/>
        </w:rPr>
      </w:pPr>
      <w:sdt>
        <w:sdtPr>
          <w:rPr>
            <w:rFonts w:ascii="Arial" w:hAnsi="Arial" w:cs="Arial"/>
            <w:sz w:val="22"/>
            <w:szCs w:val="22"/>
          </w:rPr>
          <w:id w:val="-803918923"/>
          <w:lock w:val="sdtContentLocked"/>
          <w:placeholder>
            <w:docPart w:val="DefaultPlaceholder_-1854013440"/>
          </w:placeholder>
        </w:sdtPr>
        <w:sdtEndPr/>
        <w:sdtContent>
          <w:r w:rsidR="008D2773" w:rsidRPr="001F0FA0">
            <w:rPr>
              <w:rFonts w:ascii="Arial" w:hAnsi="Arial" w:cs="Arial"/>
              <w:sz w:val="22"/>
              <w:szCs w:val="22"/>
            </w:rPr>
            <w:t>DE:</w:t>
          </w:r>
        </w:sdtContent>
      </w:sdt>
      <w:r w:rsidR="008D2773" w:rsidRPr="001F0FA0">
        <w:rPr>
          <w:rFonts w:ascii="Arial" w:hAnsi="Arial" w:cs="Arial"/>
          <w:sz w:val="22"/>
          <w:szCs w:val="22"/>
        </w:rPr>
        <w:tab/>
      </w:r>
      <w:r w:rsidR="002239B7">
        <w:rPr>
          <w:rFonts w:ascii="Arial" w:hAnsi="Arial" w:cs="Arial"/>
          <w:sz w:val="22"/>
          <w:szCs w:val="22"/>
        </w:rPr>
        <w:tab/>
      </w:r>
      <w:r w:rsidR="00715CD5" w:rsidRPr="00715CD5">
        <w:rPr>
          <w:rFonts w:ascii="Arial" w:eastAsia="Arial" w:hAnsi="Arial" w:cs="Arial"/>
          <w:b/>
        </w:rPr>
        <w:t>RODRIGO ALBERTO MANRIQUE</w:t>
      </w:r>
    </w:p>
    <w:p w14:paraId="57152266" w14:textId="2EE834D9" w:rsidR="008D2773" w:rsidRPr="006F53B4" w:rsidRDefault="006F53B4" w:rsidP="00E7193C">
      <w:pPr>
        <w:jc w:val="both"/>
        <w:rPr>
          <w:rFonts w:ascii="Arial" w:hAnsi="Arial" w:cs="Arial"/>
          <w:bCs/>
          <w:sz w:val="22"/>
          <w:szCs w:val="22"/>
        </w:rPr>
      </w:pPr>
      <w:r>
        <w:rPr>
          <w:rFonts w:ascii="Arial" w:eastAsia="Arial" w:hAnsi="Arial" w:cs="Arial"/>
          <w:b/>
        </w:rPr>
        <w:t xml:space="preserve">                     </w:t>
      </w:r>
      <w:r w:rsidRPr="006F53B4">
        <w:rPr>
          <w:rFonts w:ascii="Arial" w:eastAsia="Arial" w:hAnsi="Arial" w:cs="Arial"/>
          <w:bCs/>
        </w:rPr>
        <w:t xml:space="preserve">Subdirección Técnica de Parques </w:t>
      </w:r>
    </w:p>
    <w:p w14:paraId="60D59911" w14:textId="1757D254" w:rsidR="008D2773" w:rsidRDefault="008D2773" w:rsidP="00E7193C">
      <w:pPr>
        <w:jc w:val="both"/>
        <w:rPr>
          <w:rFonts w:ascii="Arial" w:hAnsi="Arial" w:cs="Arial"/>
          <w:sz w:val="22"/>
          <w:szCs w:val="22"/>
        </w:rPr>
      </w:pPr>
    </w:p>
    <w:p w14:paraId="1F2C9617" w14:textId="77777777" w:rsidR="004C125E" w:rsidRPr="001F0FA0" w:rsidRDefault="004C125E" w:rsidP="00E7193C">
      <w:pPr>
        <w:jc w:val="both"/>
        <w:rPr>
          <w:rFonts w:ascii="Arial" w:hAnsi="Arial" w:cs="Arial"/>
          <w:sz w:val="22"/>
          <w:szCs w:val="22"/>
        </w:rPr>
      </w:pPr>
    </w:p>
    <w:tbl>
      <w:tblPr>
        <w:tblStyle w:val="Tablaconcuadrcul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9"/>
        <w:gridCol w:w="8149"/>
      </w:tblGrid>
      <w:tr w:rsidR="00980E6C" w14:paraId="42A52249" w14:textId="77777777" w:rsidTr="006F53B4">
        <w:trPr>
          <w:trHeight w:val="302"/>
        </w:trPr>
        <w:tc>
          <w:tcPr>
            <w:tcW w:w="1349" w:type="dxa"/>
          </w:tcPr>
          <w:p w14:paraId="788B5C0A" w14:textId="013EFA50" w:rsidR="00980E6C" w:rsidRDefault="00D662F9" w:rsidP="009D33A9">
            <w:pPr>
              <w:ind w:left="-105"/>
              <w:jc w:val="both"/>
              <w:rPr>
                <w:rFonts w:ascii="Arial" w:hAnsi="Arial" w:cs="Arial"/>
                <w:sz w:val="22"/>
                <w:szCs w:val="22"/>
              </w:rPr>
            </w:pPr>
            <w:sdt>
              <w:sdtPr>
                <w:rPr>
                  <w:rFonts w:ascii="Arial" w:hAnsi="Arial" w:cs="Arial"/>
                  <w:sz w:val="22"/>
                  <w:szCs w:val="22"/>
                </w:rPr>
                <w:id w:val="-1274634357"/>
                <w:lock w:val="sdtContentLocked"/>
                <w:placeholder>
                  <w:docPart w:val="EAD9747B2B1B4530A14B038D1799A2AF"/>
                </w:placeholder>
              </w:sdtPr>
              <w:sdtEndPr/>
              <w:sdtContent>
                <w:r w:rsidR="00980E6C" w:rsidRPr="001F0FA0">
                  <w:rPr>
                    <w:rFonts w:ascii="Arial" w:hAnsi="Arial" w:cs="Arial"/>
                    <w:sz w:val="22"/>
                    <w:szCs w:val="22"/>
                  </w:rPr>
                  <w:t>ASUNTO:</w:t>
                </w:r>
              </w:sdtContent>
            </w:sdt>
          </w:p>
        </w:tc>
        <w:tc>
          <w:tcPr>
            <w:tcW w:w="8149" w:type="dxa"/>
          </w:tcPr>
          <w:p w14:paraId="1556EBEA" w14:textId="3115FFAB" w:rsidR="00980E6C" w:rsidRPr="006F53B4" w:rsidRDefault="00C32049" w:rsidP="00DC03AD">
            <w:pPr>
              <w:tabs>
                <w:tab w:val="left" w:pos="7192"/>
              </w:tabs>
              <w:ind w:right="-108"/>
              <w:jc w:val="both"/>
              <w:rPr>
                <w:rFonts w:ascii="Arial" w:hAnsi="Arial" w:cs="Arial"/>
                <w:sz w:val="22"/>
                <w:szCs w:val="22"/>
              </w:rPr>
            </w:pPr>
            <w:r w:rsidRPr="00C32049">
              <w:rPr>
                <w:rFonts w:ascii="Arial" w:eastAsia="Arial" w:hAnsi="Arial" w:cs="Arial"/>
                <w:sz w:val="22"/>
                <w:szCs w:val="22"/>
              </w:rPr>
              <w:t>Pronunciamiento técnico Solicitud de Conciliación extrajudicial formulada por CONSULTORA CAPITAL S.A.S BIC para cumplir con el requisito de procedibilidad en orden a la interposición de un Medio de Control de Controversias Contractuales contra INSTITUTO DISTRITAL DE RECREACIÓN Y DEPORTE - IDRD y CONSORCIO INTER APP SALITRE.</w:t>
            </w:r>
          </w:p>
        </w:tc>
      </w:tr>
    </w:tbl>
    <w:p w14:paraId="4E2B665F" w14:textId="77777777" w:rsidR="002352E5" w:rsidRDefault="002352E5" w:rsidP="00E45DDF">
      <w:pPr>
        <w:jc w:val="both"/>
        <w:rPr>
          <w:rFonts w:ascii="Arial" w:hAnsi="Arial" w:cs="Arial"/>
          <w:sz w:val="22"/>
          <w:szCs w:val="22"/>
        </w:rPr>
      </w:pPr>
    </w:p>
    <w:p w14:paraId="3F498916" w14:textId="77777777" w:rsidR="006F53B4" w:rsidRDefault="006F53B4" w:rsidP="006F53B4">
      <w:pPr>
        <w:spacing w:after="172" w:line="250" w:lineRule="auto"/>
        <w:ind w:left="-3" w:right="42" w:hanging="10"/>
        <w:jc w:val="both"/>
        <w:rPr>
          <w:rFonts w:ascii="Arial" w:eastAsia="Arial" w:hAnsi="Arial" w:cs="Arial"/>
        </w:rPr>
      </w:pPr>
      <w:r>
        <w:rPr>
          <w:rFonts w:ascii="Arial" w:eastAsia="Arial" w:hAnsi="Arial" w:cs="Arial"/>
        </w:rPr>
        <w:t xml:space="preserve">Cordial saludo Dra. Daniela: </w:t>
      </w:r>
    </w:p>
    <w:p w14:paraId="0C29F065" w14:textId="77777777" w:rsidR="00C32049" w:rsidRPr="00C32049" w:rsidRDefault="00C32049" w:rsidP="00C32049">
      <w:pPr>
        <w:numPr>
          <w:ilvl w:val="0"/>
          <w:numId w:val="2"/>
        </w:numPr>
        <w:spacing w:after="200" w:line="276" w:lineRule="auto"/>
        <w:jc w:val="both"/>
        <w:rPr>
          <w:rFonts w:ascii="Arial" w:hAnsi="Arial" w:cs="Arial"/>
          <w:b/>
          <w:bCs/>
        </w:rPr>
      </w:pPr>
      <w:r w:rsidRPr="00C32049">
        <w:rPr>
          <w:rFonts w:ascii="Arial" w:hAnsi="Arial" w:cs="Arial"/>
          <w:b/>
          <w:bCs/>
        </w:rPr>
        <w:t xml:space="preserve">ANTECEDENTES: </w:t>
      </w:r>
    </w:p>
    <w:p w14:paraId="3FF81155" w14:textId="77777777" w:rsidR="00C32049" w:rsidRPr="00C32049" w:rsidRDefault="00C32049" w:rsidP="00C32049">
      <w:pPr>
        <w:ind w:left="360"/>
        <w:jc w:val="both"/>
        <w:rPr>
          <w:rFonts w:ascii="Arial" w:hAnsi="Arial" w:cs="Arial"/>
          <w:b/>
          <w:bCs/>
        </w:rPr>
      </w:pPr>
    </w:p>
    <w:p w14:paraId="2ABDBE06" w14:textId="77777777" w:rsidR="00C32049" w:rsidRPr="00C32049" w:rsidRDefault="00C32049" w:rsidP="00C32049">
      <w:pPr>
        <w:numPr>
          <w:ilvl w:val="0"/>
          <w:numId w:val="4"/>
        </w:numPr>
        <w:suppressAutoHyphens w:val="0"/>
        <w:autoSpaceDN/>
        <w:spacing w:after="160" w:line="259" w:lineRule="auto"/>
        <w:contextualSpacing/>
        <w:jc w:val="both"/>
        <w:textAlignment w:val="auto"/>
        <w:rPr>
          <w:rFonts w:ascii="Arial" w:hAnsi="Arial" w:cs="Arial"/>
        </w:rPr>
      </w:pPr>
      <w:r w:rsidRPr="00C32049">
        <w:rPr>
          <w:rFonts w:ascii="Arial" w:hAnsi="Arial" w:cs="Arial"/>
        </w:rPr>
        <w:t>El Instituto Distrital de Recreación y Deporte – IDRD adelantó el Concurso de Méritos Abierto No. IDRD-SG-CM-069-2025, cuyo objeto fue:</w:t>
      </w:r>
      <w:r w:rsidRPr="00C32049">
        <w:rPr>
          <w:rFonts w:ascii="Arial" w:hAnsi="Arial" w:cs="Arial"/>
        </w:rPr>
        <w:br/>
      </w:r>
      <w:r w:rsidRPr="00C32049">
        <w:rPr>
          <w:rFonts w:ascii="Arial" w:hAnsi="Arial" w:cs="Arial"/>
          <w:i/>
          <w:iCs/>
        </w:rPr>
        <w:t>“Realizar la interventoría integral técnica, contable, financiera, jurídica, administrativa, operativa, social y medioambiental del contrato de concesión bajo el esquema de Asociación Público-Privada de iniciativa privada No. 3665 de 2019, para la etapa de operación y mantenimiento”.</w:t>
      </w:r>
    </w:p>
    <w:p w14:paraId="4C2FC558" w14:textId="77777777" w:rsidR="00C32049" w:rsidRPr="00C32049" w:rsidRDefault="00C32049" w:rsidP="00C32049">
      <w:pPr>
        <w:suppressAutoHyphens w:val="0"/>
        <w:autoSpaceDN/>
        <w:spacing w:after="160" w:line="259" w:lineRule="auto"/>
        <w:ind w:left="720"/>
        <w:contextualSpacing/>
        <w:jc w:val="both"/>
        <w:textAlignment w:val="auto"/>
        <w:rPr>
          <w:rFonts w:ascii="Arial" w:hAnsi="Arial" w:cs="Arial"/>
        </w:rPr>
      </w:pPr>
    </w:p>
    <w:p w14:paraId="5FB2A0A7" w14:textId="77777777" w:rsidR="00C32049" w:rsidRPr="00C32049" w:rsidRDefault="00C32049" w:rsidP="00C32049">
      <w:pPr>
        <w:numPr>
          <w:ilvl w:val="0"/>
          <w:numId w:val="4"/>
        </w:numPr>
        <w:suppressAutoHyphens w:val="0"/>
        <w:autoSpaceDN/>
        <w:spacing w:after="160" w:line="259" w:lineRule="auto"/>
        <w:contextualSpacing/>
        <w:jc w:val="both"/>
        <w:textAlignment w:val="auto"/>
        <w:rPr>
          <w:rFonts w:ascii="Arial" w:hAnsi="Arial" w:cs="Arial"/>
        </w:rPr>
      </w:pPr>
      <w:r w:rsidRPr="00C32049">
        <w:rPr>
          <w:rFonts w:ascii="Arial" w:hAnsi="Arial" w:cs="Arial"/>
        </w:rPr>
        <w:t>Culminadas las etapas previstas en el cronograma del proceso, y surtida la evaluación técnica, financiera, jurídica y económica de las propuestas, el IDRD profirió la Resolución No. 0001 del 02 de enero de 2026, mediante la cual se adjudicó el proceso al CONSORCIO INTER APP SALITRE.</w:t>
      </w:r>
    </w:p>
    <w:p w14:paraId="62C9FEC8" w14:textId="77777777" w:rsidR="00C32049" w:rsidRPr="00C32049" w:rsidRDefault="00C32049" w:rsidP="00C32049">
      <w:pPr>
        <w:suppressAutoHyphens w:val="0"/>
        <w:autoSpaceDN/>
        <w:spacing w:after="160" w:line="259" w:lineRule="auto"/>
        <w:contextualSpacing/>
        <w:jc w:val="both"/>
        <w:textAlignment w:val="auto"/>
        <w:rPr>
          <w:rFonts w:ascii="Arial" w:hAnsi="Arial" w:cs="Arial"/>
        </w:rPr>
      </w:pPr>
    </w:p>
    <w:p w14:paraId="7A402FDF" w14:textId="77777777" w:rsidR="00C32049" w:rsidRPr="00C32049" w:rsidRDefault="00C32049" w:rsidP="00C32049">
      <w:pPr>
        <w:numPr>
          <w:ilvl w:val="0"/>
          <w:numId w:val="4"/>
        </w:numPr>
        <w:suppressAutoHyphens w:val="0"/>
        <w:autoSpaceDN/>
        <w:spacing w:after="160" w:line="259" w:lineRule="auto"/>
        <w:contextualSpacing/>
        <w:jc w:val="both"/>
        <w:textAlignment w:val="auto"/>
        <w:rPr>
          <w:rFonts w:ascii="Arial" w:hAnsi="Arial" w:cs="Arial"/>
        </w:rPr>
      </w:pPr>
      <w:r w:rsidRPr="00C32049">
        <w:rPr>
          <w:rFonts w:ascii="Arial" w:hAnsi="Arial" w:cs="Arial"/>
        </w:rPr>
        <w:t xml:space="preserve">Con posterioridad a la expedición del acto administrativo de adjudicación y antes de la suscripción del contrato, CONSULTORA CAPITAL S.A.S. – BIC, en calidad de proponente, presentó solicitud de </w:t>
      </w:r>
      <w:r w:rsidRPr="00C32049">
        <w:rPr>
          <w:rFonts w:ascii="Arial" w:hAnsi="Arial" w:cs="Arial"/>
          <w:b/>
          <w:bCs/>
        </w:rPr>
        <w:t>revocatoria directa</w:t>
      </w:r>
      <w:r w:rsidRPr="00C32049">
        <w:rPr>
          <w:rFonts w:ascii="Arial" w:hAnsi="Arial" w:cs="Arial"/>
        </w:rPr>
        <w:t xml:space="preserve"> del citado </w:t>
      </w:r>
      <w:r w:rsidRPr="00C32049">
        <w:rPr>
          <w:rFonts w:ascii="Arial" w:hAnsi="Arial" w:cs="Arial"/>
        </w:rPr>
        <w:lastRenderedPageBreak/>
        <w:t>acto administrativo, invocando presuntas irregularidades en la evaluación de las propuestas.</w:t>
      </w:r>
    </w:p>
    <w:p w14:paraId="0B796976" w14:textId="77777777" w:rsidR="00C32049" w:rsidRPr="00C32049" w:rsidRDefault="00C32049" w:rsidP="00C32049">
      <w:pPr>
        <w:suppressAutoHyphens w:val="0"/>
        <w:autoSpaceDN/>
        <w:spacing w:after="160" w:line="259" w:lineRule="auto"/>
        <w:ind w:left="1080"/>
        <w:contextualSpacing/>
        <w:jc w:val="both"/>
        <w:textAlignment w:val="auto"/>
        <w:rPr>
          <w:rFonts w:ascii="Arial" w:hAnsi="Arial" w:cs="Arial"/>
        </w:rPr>
      </w:pPr>
    </w:p>
    <w:p w14:paraId="4BCF99A0" w14:textId="77777777" w:rsidR="00C32049" w:rsidRPr="00C32049" w:rsidRDefault="00C32049" w:rsidP="00C32049">
      <w:pPr>
        <w:numPr>
          <w:ilvl w:val="0"/>
          <w:numId w:val="4"/>
        </w:numPr>
        <w:suppressAutoHyphens w:val="0"/>
        <w:autoSpaceDN/>
        <w:spacing w:after="160" w:line="259" w:lineRule="auto"/>
        <w:contextualSpacing/>
        <w:jc w:val="both"/>
        <w:textAlignment w:val="auto"/>
        <w:rPr>
          <w:rFonts w:ascii="Arial" w:hAnsi="Arial" w:cs="Arial"/>
        </w:rPr>
      </w:pPr>
      <w:r w:rsidRPr="00C32049">
        <w:rPr>
          <w:rFonts w:ascii="Arial" w:hAnsi="Arial" w:cs="Arial"/>
        </w:rPr>
        <w:t>Mediante resolución No. 067 de 2026 “</w:t>
      </w:r>
      <w:r w:rsidRPr="00C32049">
        <w:rPr>
          <w:rFonts w:ascii="Arial" w:hAnsi="Arial" w:cs="Arial"/>
          <w:i/>
          <w:iCs/>
        </w:rPr>
        <w:t>Por medio de la cual se decide solicitud de revocatoria directa de la resolución no. 0001 del 02 de enero de 2026 “por medio de la cual se adjudica el proceso de selección por concurso de méritos abierto IDRD-SG-CM-069-2025”</w:t>
      </w:r>
      <w:r w:rsidRPr="00C32049">
        <w:rPr>
          <w:rFonts w:ascii="Arial" w:hAnsi="Arial" w:cs="Arial"/>
        </w:rPr>
        <w:t xml:space="preserve">, resuelve: </w:t>
      </w:r>
    </w:p>
    <w:p w14:paraId="76456D15" w14:textId="77777777" w:rsidR="00C32049" w:rsidRPr="00C32049" w:rsidRDefault="00C32049" w:rsidP="00C32049">
      <w:pPr>
        <w:ind w:left="720"/>
        <w:contextualSpacing/>
        <w:rPr>
          <w:rFonts w:ascii="Arial" w:hAnsi="Arial" w:cs="Arial"/>
        </w:rPr>
      </w:pPr>
    </w:p>
    <w:p w14:paraId="6076B64A" w14:textId="77777777" w:rsidR="00C32049" w:rsidRPr="00C32049" w:rsidRDefault="00C32049" w:rsidP="00C32049">
      <w:pPr>
        <w:suppressAutoHyphens w:val="0"/>
        <w:autoSpaceDN/>
        <w:spacing w:after="160" w:line="259" w:lineRule="auto"/>
        <w:ind w:left="1080"/>
        <w:contextualSpacing/>
        <w:jc w:val="both"/>
        <w:textAlignment w:val="auto"/>
        <w:rPr>
          <w:rFonts w:ascii="Arial" w:hAnsi="Arial" w:cs="Arial"/>
          <w:i/>
          <w:iCs/>
        </w:rPr>
      </w:pPr>
      <w:r w:rsidRPr="00C32049">
        <w:rPr>
          <w:rFonts w:ascii="Arial" w:hAnsi="Arial" w:cs="Arial"/>
          <w:i/>
          <w:iCs/>
        </w:rPr>
        <w:t>“</w:t>
      </w:r>
      <w:r w:rsidRPr="00C32049">
        <w:rPr>
          <w:rFonts w:ascii="Arial" w:hAnsi="Arial" w:cs="Arial"/>
          <w:b/>
          <w:bCs/>
          <w:i/>
          <w:iCs/>
        </w:rPr>
        <w:t>ARTÍCULO PRIMERO</w:t>
      </w:r>
      <w:r w:rsidRPr="00C32049">
        <w:rPr>
          <w:rFonts w:ascii="Arial" w:hAnsi="Arial" w:cs="Arial"/>
          <w:i/>
          <w:iCs/>
        </w:rPr>
        <w:t>. No revocar la Resolución No. 0001 del 02 de enero de 2026 “Por medio de la cual se adjudica el proceso de selección por Concurso de Méritos Abierto IDRD-SG-CM-069- 2025”.</w:t>
      </w:r>
    </w:p>
    <w:p w14:paraId="453C11DE" w14:textId="77777777" w:rsidR="00C32049" w:rsidRPr="00C32049" w:rsidRDefault="00C32049" w:rsidP="00C32049">
      <w:pPr>
        <w:ind w:left="720"/>
        <w:contextualSpacing/>
        <w:rPr>
          <w:rFonts w:ascii="Arial" w:hAnsi="Arial" w:cs="Arial"/>
        </w:rPr>
      </w:pPr>
    </w:p>
    <w:p w14:paraId="2C865B73" w14:textId="77777777" w:rsidR="00C32049" w:rsidRPr="00C32049" w:rsidRDefault="00C32049" w:rsidP="00C32049">
      <w:pPr>
        <w:numPr>
          <w:ilvl w:val="0"/>
          <w:numId w:val="4"/>
        </w:numPr>
        <w:spacing w:after="200" w:line="276" w:lineRule="auto"/>
        <w:jc w:val="both"/>
        <w:rPr>
          <w:rFonts w:ascii="Arial" w:hAnsi="Arial" w:cs="Arial"/>
        </w:rPr>
      </w:pPr>
      <w:r w:rsidRPr="00C32049">
        <w:rPr>
          <w:rFonts w:ascii="Arial" w:hAnsi="Arial" w:cs="Arial"/>
        </w:rPr>
        <w:t xml:space="preserve">El día </w:t>
      </w:r>
      <w:proofErr w:type="spellStart"/>
      <w:r w:rsidRPr="00C32049">
        <w:rPr>
          <w:rFonts w:ascii="Arial" w:hAnsi="Arial" w:cs="Arial"/>
        </w:rPr>
        <w:t>xxx</w:t>
      </w:r>
      <w:proofErr w:type="spellEnd"/>
      <w:r w:rsidRPr="00C32049">
        <w:rPr>
          <w:rFonts w:ascii="Arial" w:hAnsi="Arial" w:cs="Arial"/>
        </w:rPr>
        <w:t xml:space="preserve"> de </w:t>
      </w:r>
      <w:proofErr w:type="spellStart"/>
      <w:r w:rsidRPr="00C32049">
        <w:rPr>
          <w:rFonts w:ascii="Arial" w:hAnsi="Arial" w:cs="Arial"/>
        </w:rPr>
        <w:t>xxxx</w:t>
      </w:r>
      <w:proofErr w:type="spellEnd"/>
      <w:r w:rsidRPr="00C32049">
        <w:rPr>
          <w:rFonts w:ascii="Arial" w:hAnsi="Arial" w:cs="Arial"/>
        </w:rPr>
        <w:t xml:space="preserve"> de 2026, JHON FREDY ALVIS CAVIEDES actuando en representación de CONSULTORA CAPITAL S.A.S. - BIC, presenta solicitud de conciliación extrajudicial como requisito previo y obligatorio a la interposición del medio de control de controversias contractuales.</w:t>
      </w:r>
    </w:p>
    <w:p w14:paraId="396F1089" w14:textId="77777777" w:rsidR="00C32049" w:rsidRPr="00C32049" w:rsidRDefault="00C32049" w:rsidP="00C32049">
      <w:pPr>
        <w:jc w:val="both"/>
        <w:rPr>
          <w:rFonts w:ascii="Arial" w:hAnsi="Arial" w:cs="Arial"/>
          <w:sz w:val="22"/>
          <w:szCs w:val="22"/>
        </w:rPr>
      </w:pPr>
    </w:p>
    <w:p w14:paraId="74DA35BA" w14:textId="77777777" w:rsidR="00C32049" w:rsidRPr="00C32049" w:rsidRDefault="00C32049" w:rsidP="00C32049">
      <w:pPr>
        <w:jc w:val="both"/>
        <w:rPr>
          <w:rFonts w:ascii="Arial" w:hAnsi="Arial" w:cs="Arial"/>
          <w:b/>
          <w:bCs/>
          <w:sz w:val="22"/>
          <w:szCs w:val="22"/>
        </w:rPr>
      </w:pPr>
      <w:r w:rsidRPr="00C32049">
        <w:rPr>
          <w:rFonts w:ascii="Arial" w:hAnsi="Arial" w:cs="Arial"/>
          <w:b/>
          <w:bCs/>
          <w:sz w:val="22"/>
          <w:szCs w:val="22"/>
        </w:rPr>
        <w:t xml:space="preserve">2. ANÁLISIS DE LOS ARGUMENTOS PLANTEADOS POR PARTE DEL COMPONENTE TÉCNICO </w:t>
      </w:r>
    </w:p>
    <w:p w14:paraId="724C183A" w14:textId="77777777" w:rsidR="00C32049" w:rsidRPr="00C32049" w:rsidRDefault="00C32049" w:rsidP="00C32049">
      <w:pPr>
        <w:jc w:val="both"/>
        <w:rPr>
          <w:rFonts w:ascii="Arial" w:hAnsi="Arial" w:cs="Arial"/>
          <w:b/>
          <w:bCs/>
          <w:sz w:val="22"/>
          <w:szCs w:val="22"/>
        </w:rPr>
      </w:pPr>
    </w:p>
    <w:p w14:paraId="6C4A6C6B"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Una vez analizados de manera integral los argumentos expuestos por el convocante, se concluye lo siguiente:</w:t>
      </w:r>
    </w:p>
    <w:p w14:paraId="7E2E2EBE" w14:textId="77777777" w:rsidR="00C32049" w:rsidRPr="00C32049" w:rsidRDefault="00C32049" w:rsidP="00C32049">
      <w:pPr>
        <w:jc w:val="both"/>
        <w:rPr>
          <w:rFonts w:ascii="Arial" w:hAnsi="Arial" w:cs="Arial"/>
          <w:sz w:val="22"/>
          <w:szCs w:val="22"/>
        </w:rPr>
      </w:pPr>
    </w:p>
    <w:p w14:paraId="4CC42230" w14:textId="77777777" w:rsidR="00C32049" w:rsidRPr="00C32049" w:rsidRDefault="00C32049" w:rsidP="00C32049">
      <w:pPr>
        <w:jc w:val="both"/>
        <w:rPr>
          <w:rFonts w:ascii="Arial" w:hAnsi="Arial" w:cs="Arial"/>
          <w:b/>
          <w:bCs/>
          <w:sz w:val="22"/>
          <w:szCs w:val="22"/>
        </w:rPr>
      </w:pPr>
      <w:r w:rsidRPr="00C32049">
        <w:rPr>
          <w:rFonts w:ascii="Arial" w:hAnsi="Arial" w:cs="Arial"/>
          <w:b/>
          <w:bCs/>
          <w:sz w:val="22"/>
          <w:szCs w:val="22"/>
        </w:rPr>
        <w:t>2.1. Sobre la presunta existencia de errores de hecho en la evaluación</w:t>
      </w:r>
    </w:p>
    <w:p w14:paraId="1B606C53" w14:textId="77777777" w:rsidR="00C32049" w:rsidRPr="00C32049" w:rsidRDefault="00C32049" w:rsidP="00C32049">
      <w:pPr>
        <w:jc w:val="both"/>
        <w:rPr>
          <w:rFonts w:ascii="Arial" w:hAnsi="Arial" w:cs="Arial"/>
          <w:b/>
          <w:bCs/>
          <w:sz w:val="22"/>
          <w:szCs w:val="22"/>
        </w:rPr>
      </w:pPr>
    </w:p>
    <w:p w14:paraId="5D285A4F"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La evaluación de las propuestas se realizó con base en los documentos aportados por los proponentes, en estricto cumplimiento del Pliego de Condiciones Definitivo, y haciendo uso de la potestad de verificación de la entidad, incluyendo la consulta directa de información disponible en plataformas oficiales como SECOP II.</w:t>
      </w:r>
    </w:p>
    <w:p w14:paraId="701D5E57" w14:textId="77777777" w:rsidR="00C32049" w:rsidRPr="00C32049" w:rsidRDefault="00C32049" w:rsidP="00C32049">
      <w:pPr>
        <w:jc w:val="both"/>
        <w:rPr>
          <w:rFonts w:ascii="Arial" w:hAnsi="Arial" w:cs="Arial"/>
          <w:sz w:val="22"/>
          <w:szCs w:val="22"/>
        </w:rPr>
      </w:pPr>
    </w:p>
    <w:p w14:paraId="31B9210C"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No se evidencia que la administración haya fundado su decisión en hechos inexistentes o falsos, por el contrario, las conclusiones de la evaluación obedecen a un análisis técnico motivado y razonable de la documentación presentada.</w:t>
      </w:r>
    </w:p>
    <w:p w14:paraId="2635A380" w14:textId="77777777" w:rsidR="00C32049" w:rsidRPr="00C32049" w:rsidRDefault="00C32049" w:rsidP="00C32049">
      <w:pPr>
        <w:jc w:val="both"/>
        <w:rPr>
          <w:rFonts w:ascii="Arial" w:hAnsi="Arial" w:cs="Arial"/>
          <w:sz w:val="22"/>
          <w:szCs w:val="22"/>
        </w:rPr>
      </w:pPr>
    </w:p>
    <w:p w14:paraId="72CE2CAE"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Ahora bien, respecto al argumento presentado por el convocante, es importante tener en cuenta que el numeral 4.3.1. del pliego de condiciones del proceso de contratación establece lo siguiente:</w:t>
      </w:r>
    </w:p>
    <w:p w14:paraId="6A94FE7A" w14:textId="77777777" w:rsidR="00C32049" w:rsidRPr="00C32049" w:rsidRDefault="00C32049" w:rsidP="00C32049">
      <w:pPr>
        <w:jc w:val="both"/>
        <w:rPr>
          <w:rFonts w:ascii="Arial" w:hAnsi="Arial" w:cs="Arial"/>
          <w:sz w:val="22"/>
          <w:szCs w:val="22"/>
        </w:rPr>
      </w:pPr>
    </w:p>
    <w:p w14:paraId="70F3847B" w14:textId="77777777" w:rsidR="00C32049" w:rsidRPr="00C32049" w:rsidRDefault="00C32049" w:rsidP="00C32049">
      <w:pPr>
        <w:ind w:left="567"/>
        <w:jc w:val="both"/>
        <w:rPr>
          <w:rFonts w:ascii="Arial" w:hAnsi="Arial" w:cs="Arial"/>
          <w:i/>
          <w:iCs/>
          <w:sz w:val="22"/>
          <w:szCs w:val="22"/>
        </w:rPr>
      </w:pPr>
      <w:r w:rsidRPr="00C32049">
        <w:rPr>
          <w:rFonts w:ascii="Arial" w:hAnsi="Arial" w:cs="Arial"/>
          <w:i/>
          <w:iCs/>
          <w:sz w:val="22"/>
          <w:szCs w:val="22"/>
        </w:rPr>
        <w:t xml:space="preserve">“4.3.1 EXPERIENCIA DEL PROPONENTE. De conformidad con lo establecido en el numeral 1º del artículo 2.2.1.1.1.5.3. del Decreto Reglamentario 1082 de 2015, en concordancia con lo señalado en el “Manual para determinar y verificar los requisitos habilitantes en los procesos de contratación”, emitido por la Agencia Nacional de Contratación </w:t>
      </w:r>
      <w:proofErr w:type="spellStart"/>
      <w:r w:rsidRPr="00C32049">
        <w:rPr>
          <w:rFonts w:ascii="Arial" w:hAnsi="Arial" w:cs="Arial"/>
          <w:i/>
          <w:iCs/>
          <w:sz w:val="22"/>
          <w:szCs w:val="22"/>
        </w:rPr>
        <w:t>PúblicaColombia</w:t>
      </w:r>
      <w:proofErr w:type="spellEnd"/>
      <w:r w:rsidRPr="00C32049">
        <w:rPr>
          <w:rFonts w:ascii="Arial" w:hAnsi="Arial" w:cs="Arial"/>
          <w:i/>
          <w:iCs/>
          <w:sz w:val="22"/>
          <w:szCs w:val="22"/>
        </w:rPr>
        <w:t xml:space="preserve"> Compra Eficiente, la experiencia acreditada es el conocimiento del proponente derivado de su participación previa en actividades iguales o similares a las previstas en el objeto contractual en un proceso de selección determinado, la cual es verificada por la Entidad contratante con base en información que se encuentre certificada en el RUP, para lo cual el proponente deberá aportar el certificado de inscripción </w:t>
      </w:r>
      <w:r w:rsidRPr="00C32049">
        <w:rPr>
          <w:rFonts w:ascii="Arial" w:hAnsi="Arial" w:cs="Arial"/>
          <w:i/>
          <w:iCs/>
          <w:sz w:val="22"/>
          <w:szCs w:val="22"/>
        </w:rPr>
        <w:lastRenderedPageBreak/>
        <w:t>expedido por la Cámara de Comercio vigente y en firme. Teniendo en cuenta el objeto que deberá desarrollar el proponente seleccionado en el marco de la ejecución del contrato, y que en el Registro Único de Proponentes – RUP no es posible verificar de manera específica que la experiencia del proponente obedezca a lo requerido para acreditarla, se hace necesario para el presente proceso de selección solicitar información adicional a la contenida en el RUP, mediante certificaciones que validen la experiencia específica del proponente. Para habilitarse en el proceso de contratación, el proponente deberá acreditar la experiencia específica mínima habilitante aportando MÁXIMO 4 CERTIFICACIONES DE CONTRATOS ejecutados, terminados y/o liquidados, con anterioridad a la fecha de cierre del presente proceso de selección, celebrados con entidades públicas o privadas en el o los cual(es) acredite la experiencia solicitada en el presente numeral, para acreditar el 100% del presupuesto oficial del presente proceso de selección, expresado en SMMLV certificados en el RUP. Para efectos de la valoración de los salarios, se tendrá en cuenta la fecha de finalización del contrato u orden de compra del presupuesto oficial.”</w:t>
      </w:r>
    </w:p>
    <w:p w14:paraId="492E4DAE" w14:textId="77777777" w:rsidR="00C32049" w:rsidRPr="00C32049" w:rsidRDefault="00C32049" w:rsidP="00C32049">
      <w:pPr>
        <w:jc w:val="both"/>
        <w:rPr>
          <w:rFonts w:ascii="Arial" w:hAnsi="Arial" w:cs="Arial"/>
          <w:i/>
          <w:iCs/>
          <w:sz w:val="22"/>
          <w:szCs w:val="22"/>
        </w:rPr>
      </w:pPr>
    </w:p>
    <w:p w14:paraId="1066F4BD"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relación con la observación formulada sobre la presunta indebida acreditación de la experiencia del proponente adjudicatario, resulta necesario precisar que el requisito habilitante de carácter técnico, conforme a lo previsto en el numeral 4.3.1 del pliego de condiciones, debía acreditarse principalmente con base en la información certificada, vigente y en firme registrada en el Registro Único de Proponentes (RUP), de acuerdo con lo dispuesto en el artículo 2.2.1.1.1.5.3 del Decreto 1082 de 2015 y las directrices de la Agencia Nacional de Contratación Pública – Colombia Compra Eficiente.</w:t>
      </w:r>
    </w:p>
    <w:p w14:paraId="58C7B90C" w14:textId="77777777" w:rsidR="00C32049" w:rsidRPr="00C32049" w:rsidRDefault="00C32049" w:rsidP="00C32049">
      <w:pPr>
        <w:jc w:val="both"/>
        <w:rPr>
          <w:rFonts w:ascii="Arial" w:hAnsi="Arial" w:cs="Arial"/>
          <w:sz w:val="22"/>
          <w:szCs w:val="22"/>
          <w:lang w:val="es-CO"/>
        </w:rPr>
      </w:pPr>
    </w:p>
    <w:p w14:paraId="0112D8A8"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ese sentido, la verificación de la experiencia por parte de la entidad debía efectuarse a partir del RUP, en tanto este constituye el instrumento oficial previsto por la normativa para acreditar la idoneidad, conocimiento y trayectoria del proponente, derivados de la ejecución de contratos iguales o similares al objeto del proceso de contratación.</w:t>
      </w:r>
    </w:p>
    <w:p w14:paraId="4B0E4999" w14:textId="77777777" w:rsidR="00C32049" w:rsidRPr="00C32049" w:rsidRDefault="00C32049" w:rsidP="00C32049">
      <w:pPr>
        <w:jc w:val="both"/>
        <w:rPr>
          <w:rFonts w:ascii="Arial" w:hAnsi="Arial" w:cs="Arial"/>
          <w:sz w:val="22"/>
          <w:szCs w:val="22"/>
          <w:lang w:val="es-CO"/>
        </w:rPr>
      </w:pPr>
    </w:p>
    <w:p w14:paraId="7E2A3EA2"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Bajo este marco, la evaluación adelantada se orientó a constatar la realidad material de la experiencia acreditada, en aplicación del principio de prevalencia de lo sustancial sobre lo formal, y no a una revisión meramente nominal de los documentos aportados.</w:t>
      </w:r>
    </w:p>
    <w:p w14:paraId="35B1C02B" w14:textId="77777777" w:rsidR="00C32049" w:rsidRPr="00C32049" w:rsidRDefault="00C32049" w:rsidP="00C32049">
      <w:pPr>
        <w:jc w:val="both"/>
        <w:rPr>
          <w:rFonts w:ascii="Arial" w:hAnsi="Arial" w:cs="Arial"/>
          <w:sz w:val="22"/>
          <w:szCs w:val="22"/>
          <w:lang w:val="es-CO"/>
        </w:rPr>
      </w:pPr>
    </w:p>
    <w:p w14:paraId="7F25FA13"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Si bien para el presente proceso se previó la presentación de certificaciones contractuales adicionales, ello obedeció exclusivamente a la necesidad de precisar la experiencia específica del proponente, sin que en ningún caso se desnaturalizara el hecho de que el requisito habilitante se sustentaba en la información debidamente certificada en el RUP, ni se trasladara a la entidad una carga valorativa distinta de la verificación objetiva de dicha información.</w:t>
      </w:r>
    </w:p>
    <w:p w14:paraId="6EF79D8A" w14:textId="77777777" w:rsidR="00C32049" w:rsidRPr="00C32049" w:rsidRDefault="00C32049" w:rsidP="00C32049">
      <w:pPr>
        <w:jc w:val="both"/>
        <w:rPr>
          <w:rFonts w:ascii="Arial" w:hAnsi="Arial" w:cs="Arial"/>
          <w:sz w:val="22"/>
          <w:szCs w:val="22"/>
          <w:lang w:val="es-CO"/>
        </w:rPr>
      </w:pPr>
    </w:p>
    <w:p w14:paraId="2C63B40A"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consecuencia, lo determinante para efectos de la habilitación técnica del proponente no radicaba en una interpretación discrecional de la experiencia, sino en la constatación de que esta se encontrara válidamente inscrita, certificada y en firme en el RUP, conforme al marco normativo aplicable.</w:t>
      </w:r>
    </w:p>
    <w:p w14:paraId="07FEB5AF" w14:textId="77777777" w:rsidR="00C32049" w:rsidRPr="00C32049" w:rsidRDefault="00C32049" w:rsidP="00C32049">
      <w:pPr>
        <w:jc w:val="both"/>
        <w:rPr>
          <w:rFonts w:ascii="Arial" w:hAnsi="Arial" w:cs="Arial"/>
          <w:sz w:val="22"/>
          <w:szCs w:val="22"/>
          <w:lang w:val="es-CO"/>
        </w:rPr>
      </w:pPr>
    </w:p>
    <w:p w14:paraId="518CAA14"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esa medida, aunque el pliego de condiciones contempló la presentación de certificaciones adicionales, estas debían entenderse como un mecanismo complementario para la precisión de la experiencia específica, sin que ello implicara desconocer, sustituir o desvirtuar la información certificada en el RUP, ni imponer una forma de valoración distinta a la verificación objetiva prevista en la normativa vigente. Por tanto, la actuación de la entidad se enmarcó en un ejercicio legítimo de interpretación y aplicación del pliego de condiciones.</w:t>
      </w:r>
    </w:p>
    <w:p w14:paraId="1C65A140" w14:textId="77777777" w:rsidR="00C32049" w:rsidRPr="00C32049" w:rsidRDefault="00C32049" w:rsidP="00C32049">
      <w:pPr>
        <w:jc w:val="both"/>
        <w:rPr>
          <w:rFonts w:ascii="Arial" w:hAnsi="Arial" w:cs="Arial"/>
          <w:sz w:val="22"/>
          <w:szCs w:val="22"/>
          <w:lang w:val="es-CO"/>
        </w:rPr>
      </w:pPr>
    </w:p>
    <w:p w14:paraId="01E7E1E1"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lastRenderedPageBreak/>
        <w:t>Dicho lo anterior, se resalta que el Contrato No. 0-255-2022, suscrito con la Corporación Autónoma Regional del Río Grande de la Magdalena – CORMAGDALENA y presentado por el proponente, fue objeto de revisión por parte del equipo evaluador técnico con base en la información registrada, vigente y en firme en el Registro Único de Proponentes (RUP). Este constituye un registro público de carácter legal, administrado por las cámaras de comercio, cuyo propósito es habilitar a las personas naturales o jurídicas para contratar con el Estado, mediante la consolidación y certificación de su capacidad jurídica, experiencia, así como de sus condiciones financieras y organizacionales.</w:t>
      </w:r>
    </w:p>
    <w:p w14:paraId="37D12F1C" w14:textId="77777777" w:rsidR="00C32049" w:rsidRPr="00C32049" w:rsidRDefault="00C32049" w:rsidP="00C32049">
      <w:pPr>
        <w:jc w:val="both"/>
        <w:rPr>
          <w:rFonts w:ascii="Arial" w:hAnsi="Arial" w:cs="Arial"/>
          <w:sz w:val="22"/>
          <w:szCs w:val="22"/>
          <w:lang w:val="es-CO"/>
        </w:rPr>
      </w:pPr>
    </w:p>
    <w:p w14:paraId="6F090BC1"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De manera complementaria, la Entidad verificó la existencia y ejecución del contrato a través de la consulta en la plataforma transaccional SECOP II, herramienta oficial mediante la cual las entidades estatales gestionan la suscripción de contratos y sus modificaciones. Los documentos electrónicos allí contenidos conservan plenamente sus atributos de existencia, validez y oponibilidad, en atención a su naturaleza jurídica y funcional dentro del sistema de contratación pública.</w:t>
      </w:r>
    </w:p>
    <w:p w14:paraId="4914E000" w14:textId="77777777" w:rsidR="00C32049" w:rsidRPr="00C32049" w:rsidRDefault="00C32049" w:rsidP="00C32049">
      <w:pPr>
        <w:jc w:val="both"/>
        <w:rPr>
          <w:rFonts w:ascii="Arial" w:hAnsi="Arial" w:cs="Arial"/>
          <w:sz w:val="22"/>
          <w:szCs w:val="22"/>
          <w:lang w:val="es-CO"/>
        </w:rPr>
      </w:pPr>
    </w:p>
    <w:p w14:paraId="40E247A0"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este contexto, tales instrumentos constituyen medios idóneos para que la Entidad constate la veracidad y validez de los contratos reportados por los proponentes.</w:t>
      </w:r>
    </w:p>
    <w:p w14:paraId="43E2A6FB" w14:textId="77777777" w:rsidR="00C32049" w:rsidRPr="00C32049" w:rsidRDefault="00C32049" w:rsidP="00C32049">
      <w:pPr>
        <w:jc w:val="both"/>
        <w:rPr>
          <w:rFonts w:ascii="Arial" w:hAnsi="Arial" w:cs="Arial"/>
          <w:sz w:val="22"/>
          <w:szCs w:val="22"/>
          <w:lang w:val="es-CO"/>
        </w:rPr>
      </w:pPr>
    </w:p>
    <w:p w14:paraId="692CCD90"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consecuencia, se concluye que el requisito objetivo de experiencia se encuentra debidamente acreditado, en la medida en que la Entidad verificó, en primer lugar, que la experiencia del proponente estaba debidamente inscrita, certificada, vigente y en firme en el Registro Único de Proponentes (RUP), instrumento oficial previsto por el ordenamiento jurídico para tal fin y que goza de presunción de veracidad. De manera subsidiaria, y con el propósito de precisar el alcance de la experiencia específica, se analizaron los documentos aportados por el oferente, así como la información disponible en la plataforma SECOP II, constatándose que el contrato presentado corresponde a un negocio jurídico real, válidamente suscrito y ejecutado, cuyo objeto y condiciones guardan plena correspondencia con lo exigido en el pliego de condiciones.</w:t>
      </w:r>
    </w:p>
    <w:p w14:paraId="76D6FA1B" w14:textId="77777777" w:rsidR="00C32049" w:rsidRPr="00C32049" w:rsidRDefault="00C32049" w:rsidP="00C32049">
      <w:pPr>
        <w:jc w:val="both"/>
        <w:rPr>
          <w:rFonts w:ascii="Arial" w:hAnsi="Arial" w:cs="Arial"/>
          <w:sz w:val="22"/>
          <w:szCs w:val="22"/>
          <w:lang w:val="es-CO"/>
        </w:rPr>
      </w:pPr>
    </w:p>
    <w:p w14:paraId="3045D41F"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 xml:space="preserve">De igual manera Manual para determinar y verificar los requisitos habilitantes en los procesos de contratación expedido por CCE, determina en su numeral 1.3: </w:t>
      </w:r>
    </w:p>
    <w:p w14:paraId="01E77BE9" w14:textId="77777777" w:rsidR="00C32049" w:rsidRPr="00C32049" w:rsidRDefault="00C32049" w:rsidP="00C32049">
      <w:pPr>
        <w:jc w:val="both"/>
        <w:rPr>
          <w:rFonts w:ascii="Arial" w:hAnsi="Arial" w:cs="Arial"/>
          <w:sz w:val="22"/>
          <w:szCs w:val="22"/>
          <w:lang w:val="es-CO"/>
        </w:rPr>
      </w:pPr>
    </w:p>
    <w:p w14:paraId="28895A89" w14:textId="77777777" w:rsidR="00C32049" w:rsidRPr="00C32049" w:rsidRDefault="00C32049" w:rsidP="00C32049">
      <w:pPr>
        <w:ind w:left="567"/>
        <w:jc w:val="both"/>
        <w:rPr>
          <w:rFonts w:ascii="Arial" w:hAnsi="Arial" w:cs="Arial"/>
          <w:sz w:val="22"/>
          <w:szCs w:val="22"/>
          <w:lang w:val="es-CO"/>
        </w:rPr>
      </w:pPr>
      <w:r w:rsidRPr="00C32049">
        <w:rPr>
          <w:rFonts w:ascii="Arial" w:hAnsi="Arial" w:cs="Arial"/>
          <w:i/>
          <w:iCs/>
          <w:sz w:val="22"/>
          <w:szCs w:val="22"/>
          <w:lang w:val="es-CO"/>
        </w:rPr>
        <w:t xml:space="preserve">“Las Entidades Estatales sometidas al Estatuto General de Contratación de la Administración Pública - EGCAP, en virtud de lo establecido en los artículos 5 y 6 de la Ley 1150 de 2007, </w:t>
      </w:r>
      <w:r w:rsidRPr="00C32049">
        <w:rPr>
          <w:rFonts w:ascii="Arial" w:hAnsi="Arial" w:cs="Arial"/>
          <w:b/>
          <w:bCs/>
          <w:i/>
          <w:iCs/>
          <w:sz w:val="22"/>
          <w:szCs w:val="22"/>
          <w:u w:val="single"/>
          <w:lang w:val="es-CO"/>
        </w:rPr>
        <w:t>están obligadas, por regla general, a efectuar la evaluación correspondiente teniendo en cuenta la información que reposa en el certificado del Registro Único de Proponentes –RUP–, documento que constituye plena prueba de la información que contiene, tal como lo establece el artículo 6.1 de la Ley 1150 de 2007</w:t>
      </w:r>
      <w:r w:rsidRPr="00C32049">
        <w:rPr>
          <w:rFonts w:ascii="Arial" w:hAnsi="Arial" w:cs="Arial"/>
          <w:i/>
          <w:iCs/>
          <w:sz w:val="22"/>
          <w:szCs w:val="22"/>
          <w:lang w:val="es-CO"/>
        </w:rPr>
        <w:t xml:space="preserve">. Por su parte, el artículo 5.1 </w:t>
      </w:r>
      <w:proofErr w:type="spellStart"/>
      <w:r w:rsidRPr="00C32049">
        <w:rPr>
          <w:rFonts w:ascii="Arial" w:hAnsi="Arial" w:cs="Arial"/>
          <w:i/>
          <w:iCs/>
          <w:sz w:val="22"/>
          <w:szCs w:val="22"/>
          <w:lang w:val="es-CO"/>
        </w:rPr>
        <w:t>ibídem</w:t>
      </w:r>
      <w:proofErr w:type="spellEnd"/>
      <w:r w:rsidRPr="00C32049">
        <w:rPr>
          <w:rFonts w:ascii="Arial" w:hAnsi="Arial" w:cs="Arial"/>
          <w:i/>
          <w:iCs/>
          <w:sz w:val="22"/>
          <w:szCs w:val="22"/>
          <w:lang w:val="es-CO"/>
        </w:rPr>
        <w:t xml:space="preserve">, modificado parcialmente por el artículo 5 de la Ley 1882 de 2018, al fijar los criterios que deben tener en cuenta las entidades estatales para garantizar la selección objetiva, dispone que las Cámaras de Comercio verificarán la información suministrada por las personas naturales o jurídicas para la inscripción en el Registro (…). </w:t>
      </w:r>
      <w:r w:rsidRPr="00C32049">
        <w:rPr>
          <w:rFonts w:ascii="Arial" w:hAnsi="Arial" w:cs="Arial"/>
          <w:sz w:val="22"/>
          <w:szCs w:val="22"/>
          <w:lang w:val="es-CO"/>
        </w:rPr>
        <w:t xml:space="preserve">(Subraya y negrilla fuera de texto). </w:t>
      </w:r>
    </w:p>
    <w:p w14:paraId="3862F8CA" w14:textId="77777777" w:rsidR="00C32049" w:rsidRPr="00C32049" w:rsidRDefault="00C32049" w:rsidP="00C32049">
      <w:pPr>
        <w:jc w:val="both"/>
        <w:rPr>
          <w:rFonts w:ascii="Arial" w:hAnsi="Arial" w:cs="Arial"/>
          <w:sz w:val="22"/>
          <w:szCs w:val="22"/>
          <w:lang w:val="es-CO"/>
        </w:rPr>
      </w:pPr>
    </w:p>
    <w:p w14:paraId="47EF1EA5"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Por lo expuesto, se precisa que la validación de la experiencia aportada se efectuó atendiendo a la naturaleza, objeto y alcance real de los contratos evaluados. Dichos contratos corresponden a interventorías desarrolladas íntegramente en la etapa de operación y mantenimiento, la cual constituye el eje central del presente proceso de selección y, por ende, un requisito esencial, en la medida en que la interventoría objeto de contratación se ejecutará precisamente durante dicha fase del contrato a vigilar.</w:t>
      </w:r>
    </w:p>
    <w:p w14:paraId="3B7781CC" w14:textId="77777777" w:rsidR="00C32049" w:rsidRPr="00C32049" w:rsidRDefault="00C32049" w:rsidP="00C32049">
      <w:pPr>
        <w:jc w:val="both"/>
        <w:rPr>
          <w:rFonts w:ascii="Arial" w:hAnsi="Arial" w:cs="Arial"/>
          <w:sz w:val="22"/>
          <w:szCs w:val="22"/>
          <w:lang w:val="es-CO"/>
        </w:rPr>
      </w:pPr>
    </w:p>
    <w:p w14:paraId="72BB517D"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consecuencia, no se trata de contratos con objetos o alcances ajenos o disímiles a los exigidos por la Entidad, sino de experiencias directamente relacionadas con la operación y mantenimiento de concesiones, plenamente acordes con las condiciones establecidas en el pliego de condiciones.</w:t>
      </w:r>
    </w:p>
    <w:p w14:paraId="17321535" w14:textId="77777777" w:rsidR="00C32049" w:rsidRPr="00C32049" w:rsidRDefault="00C32049" w:rsidP="00C32049">
      <w:pPr>
        <w:jc w:val="both"/>
        <w:rPr>
          <w:rFonts w:ascii="Arial" w:hAnsi="Arial" w:cs="Arial"/>
          <w:sz w:val="22"/>
          <w:szCs w:val="22"/>
          <w:lang w:val="es-CO"/>
        </w:rPr>
      </w:pPr>
    </w:p>
    <w:p w14:paraId="77646233"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Sobre el particular, se resalta que cada una de las certificaciones y/o contratos aportados por los proponentes acredita de manera expresa la ejecución de actividades propias de la etapa de operación y mantenimiento, lo que permite establecer una correspondencia directa entre la experiencia acreditada y el objeto del proceso de selección.</w:t>
      </w:r>
    </w:p>
    <w:p w14:paraId="61183776" w14:textId="77777777" w:rsidR="00C32049" w:rsidRPr="00C32049" w:rsidRDefault="00C32049" w:rsidP="00C32049">
      <w:pPr>
        <w:jc w:val="both"/>
        <w:rPr>
          <w:rFonts w:ascii="Arial" w:hAnsi="Arial" w:cs="Arial"/>
          <w:sz w:val="22"/>
          <w:szCs w:val="22"/>
          <w:lang w:val="es-CO"/>
        </w:rPr>
      </w:pPr>
    </w:p>
    <w:p w14:paraId="79148A4C"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En este contexto, no se evidencia la existencia de etapas contractuales distintas que desborden el alcance de la experiencia requerida. Al respecto, si bien las concesiones —particularmente en el ámbito portuario— pueden contemplar planes de inversión que implican la ejecución de obras a lo largo del tiempo, dicha circunstancia no configura una etapa autónoma diferente a la de operación y mantenimiento, sino que hace parte de las obligaciones inherentes, continuas y propias de esta fase dentro del esquema concesional.</w:t>
      </w:r>
    </w:p>
    <w:p w14:paraId="240A7D0C" w14:textId="77777777" w:rsidR="00C32049" w:rsidRPr="00C32049" w:rsidRDefault="00C32049" w:rsidP="00C32049">
      <w:pPr>
        <w:jc w:val="both"/>
        <w:rPr>
          <w:rFonts w:ascii="Arial" w:hAnsi="Arial" w:cs="Arial"/>
          <w:b/>
          <w:bCs/>
          <w:sz w:val="22"/>
          <w:szCs w:val="22"/>
          <w:lang w:val="es-CO"/>
        </w:rPr>
      </w:pPr>
    </w:p>
    <w:p w14:paraId="416BFD84" w14:textId="77777777" w:rsidR="00C32049" w:rsidRPr="00C32049" w:rsidRDefault="00C32049" w:rsidP="00C32049">
      <w:pPr>
        <w:jc w:val="both"/>
        <w:rPr>
          <w:rFonts w:ascii="Arial" w:hAnsi="Arial" w:cs="Arial"/>
          <w:b/>
          <w:bCs/>
          <w:sz w:val="22"/>
          <w:szCs w:val="22"/>
        </w:rPr>
      </w:pPr>
      <w:r w:rsidRPr="00C32049">
        <w:rPr>
          <w:rFonts w:ascii="Arial" w:hAnsi="Arial" w:cs="Arial"/>
          <w:b/>
          <w:bCs/>
          <w:sz w:val="22"/>
          <w:szCs w:val="22"/>
        </w:rPr>
        <w:t>2.2. Sobre la experiencia acreditada y la etapa de operación y mantenimiento</w:t>
      </w:r>
    </w:p>
    <w:p w14:paraId="66E987B8" w14:textId="77777777" w:rsidR="00C32049" w:rsidRPr="00C32049" w:rsidRDefault="00C32049" w:rsidP="00C32049">
      <w:pPr>
        <w:jc w:val="both"/>
        <w:rPr>
          <w:rFonts w:ascii="Arial" w:hAnsi="Arial" w:cs="Arial"/>
          <w:b/>
          <w:bCs/>
          <w:sz w:val="22"/>
          <w:szCs w:val="22"/>
        </w:rPr>
      </w:pPr>
    </w:p>
    <w:p w14:paraId="280884B9"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La experiencia aportada por los proponentes fue valorada conforme a la naturaleza de los contratos de concesión y APP, en los cuales la etapa de operación y mantenimiento puede coexistir con actividades de construcción, sin que ello implique un cambio de etapa contractual.</w:t>
      </w:r>
    </w:p>
    <w:p w14:paraId="69D86FBE" w14:textId="77777777" w:rsidR="00C32049" w:rsidRPr="00C32049" w:rsidRDefault="00C32049" w:rsidP="00C32049">
      <w:pPr>
        <w:jc w:val="both"/>
        <w:rPr>
          <w:rFonts w:ascii="Arial" w:hAnsi="Arial" w:cs="Arial"/>
          <w:sz w:val="22"/>
          <w:szCs w:val="22"/>
        </w:rPr>
      </w:pPr>
    </w:p>
    <w:p w14:paraId="2F43B141"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La aplicación de la Nota 13 del pliego de condiciones se realizó de manera uniforme y coherente, atendiendo el alcance real de los contratos acreditados y la información verificable contenida en las certificaciones y contratos aportados.</w:t>
      </w:r>
    </w:p>
    <w:p w14:paraId="52F3CD4C" w14:textId="77777777" w:rsidR="00C32049" w:rsidRPr="00C32049" w:rsidRDefault="00C32049" w:rsidP="00C32049">
      <w:pPr>
        <w:jc w:val="both"/>
        <w:rPr>
          <w:rFonts w:ascii="Arial" w:hAnsi="Arial" w:cs="Arial"/>
          <w:sz w:val="22"/>
          <w:szCs w:val="22"/>
        </w:rPr>
      </w:pPr>
    </w:p>
    <w:p w14:paraId="6E17CFC6" w14:textId="77777777" w:rsidR="00C32049" w:rsidRPr="00C32049" w:rsidRDefault="00C32049" w:rsidP="00C32049">
      <w:pPr>
        <w:jc w:val="both"/>
        <w:rPr>
          <w:rFonts w:ascii="Arial" w:hAnsi="Arial" w:cs="Arial"/>
          <w:b/>
          <w:bCs/>
          <w:sz w:val="22"/>
          <w:szCs w:val="22"/>
        </w:rPr>
      </w:pPr>
      <w:r w:rsidRPr="00C32049">
        <w:rPr>
          <w:rFonts w:ascii="Arial" w:hAnsi="Arial" w:cs="Arial"/>
          <w:b/>
          <w:bCs/>
          <w:sz w:val="22"/>
          <w:szCs w:val="22"/>
        </w:rPr>
        <w:t xml:space="preserve">2.3. Sobre los perfiles académicos del </w:t>
      </w:r>
      <w:proofErr w:type="gramStart"/>
      <w:r w:rsidRPr="00C32049">
        <w:rPr>
          <w:rFonts w:ascii="Arial" w:hAnsi="Arial" w:cs="Arial"/>
          <w:b/>
          <w:bCs/>
          <w:sz w:val="22"/>
          <w:szCs w:val="22"/>
        </w:rPr>
        <w:t>Director</w:t>
      </w:r>
      <w:proofErr w:type="gramEnd"/>
      <w:r w:rsidRPr="00C32049">
        <w:rPr>
          <w:rFonts w:ascii="Arial" w:hAnsi="Arial" w:cs="Arial"/>
          <w:b/>
          <w:bCs/>
          <w:sz w:val="22"/>
          <w:szCs w:val="22"/>
        </w:rPr>
        <w:t xml:space="preserve"> de Interventoría y del Profesional Financiero</w:t>
      </w:r>
    </w:p>
    <w:p w14:paraId="228ABFBD" w14:textId="77777777" w:rsidR="00C32049" w:rsidRPr="00C32049" w:rsidRDefault="00C32049" w:rsidP="00C32049">
      <w:pPr>
        <w:jc w:val="both"/>
        <w:rPr>
          <w:rFonts w:ascii="Arial" w:hAnsi="Arial" w:cs="Arial"/>
          <w:b/>
          <w:bCs/>
          <w:sz w:val="22"/>
          <w:szCs w:val="22"/>
        </w:rPr>
      </w:pPr>
    </w:p>
    <w:p w14:paraId="3FEA8336"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La aceptación de los títulos de posgrado presentados se fundamentó en lo dispuesto expresamente en el pliego de condiciones definitivo, el cual permite aceptar títulos de posgrado distintos a los enunciados, siempre que pertenezcan al mismo Núcleo Básico del Conocimiento (NBC).</w:t>
      </w:r>
    </w:p>
    <w:p w14:paraId="22B88862"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La verificación realizada con base en el SNIES y los criterios allí definidos no constituye una modificación de las reglas del proceso, sino la aplicación literal y objetiva del pliego de condiciones.</w:t>
      </w:r>
    </w:p>
    <w:p w14:paraId="1C54E24F" w14:textId="77777777" w:rsidR="00C32049" w:rsidRPr="00C32049" w:rsidRDefault="00C32049" w:rsidP="00C32049">
      <w:pPr>
        <w:jc w:val="both"/>
        <w:rPr>
          <w:rFonts w:ascii="Arial" w:hAnsi="Arial" w:cs="Arial"/>
          <w:sz w:val="22"/>
          <w:szCs w:val="22"/>
        </w:rPr>
      </w:pPr>
    </w:p>
    <w:p w14:paraId="7F7AA7D8" w14:textId="77777777" w:rsidR="00C32049" w:rsidRPr="00C32049" w:rsidRDefault="00C32049" w:rsidP="00C32049">
      <w:pPr>
        <w:jc w:val="both"/>
        <w:rPr>
          <w:rFonts w:ascii="Arial" w:hAnsi="Arial" w:cs="Arial"/>
          <w:b/>
          <w:bCs/>
          <w:sz w:val="22"/>
          <w:szCs w:val="22"/>
        </w:rPr>
      </w:pPr>
      <w:r w:rsidRPr="00C32049">
        <w:rPr>
          <w:rFonts w:ascii="Arial" w:hAnsi="Arial" w:cs="Arial"/>
          <w:b/>
          <w:bCs/>
          <w:sz w:val="22"/>
          <w:szCs w:val="22"/>
        </w:rPr>
        <w:t>2.4. Sobre la presunta desigualdad en el trato entre oferentes</w:t>
      </w:r>
    </w:p>
    <w:p w14:paraId="1F85FDAF" w14:textId="77777777" w:rsidR="00C32049" w:rsidRPr="00C32049" w:rsidRDefault="00C32049" w:rsidP="00C32049">
      <w:pPr>
        <w:jc w:val="both"/>
        <w:rPr>
          <w:rFonts w:ascii="Arial" w:hAnsi="Arial" w:cs="Arial"/>
          <w:b/>
          <w:bCs/>
          <w:sz w:val="22"/>
          <w:szCs w:val="22"/>
        </w:rPr>
      </w:pPr>
    </w:p>
    <w:p w14:paraId="7261F1EC"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No se evidencia la aplicación de criterios disímiles ni trato discriminatorio entre los proponentes. Todos fueron evaluados bajo los mismos parámetros técnicos, académicos y de experiencia, conforme a las reglas previamente establecidas y conocidas por los participantes.</w:t>
      </w:r>
    </w:p>
    <w:p w14:paraId="328AD249" w14:textId="77777777" w:rsidR="00C32049" w:rsidRPr="00C32049" w:rsidRDefault="00C32049" w:rsidP="00C32049">
      <w:pPr>
        <w:jc w:val="both"/>
        <w:rPr>
          <w:rFonts w:ascii="Arial" w:hAnsi="Arial" w:cs="Arial"/>
          <w:sz w:val="22"/>
          <w:szCs w:val="22"/>
        </w:rPr>
      </w:pPr>
    </w:p>
    <w:p w14:paraId="12B2158F" w14:textId="77777777" w:rsidR="00C32049" w:rsidRPr="00C32049" w:rsidRDefault="00C32049" w:rsidP="00C32049">
      <w:pPr>
        <w:jc w:val="both"/>
        <w:rPr>
          <w:rFonts w:ascii="Arial" w:hAnsi="Arial" w:cs="Arial"/>
          <w:b/>
          <w:bCs/>
          <w:sz w:val="22"/>
          <w:szCs w:val="22"/>
        </w:rPr>
      </w:pPr>
      <w:r w:rsidRPr="00C32049">
        <w:rPr>
          <w:rFonts w:ascii="Arial" w:hAnsi="Arial" w:cs="Arial"/>
          <w:b/>
          <w:bCs/>
          <w:sz w:val="22"/>
          <w:szCs w:val="22"/>
        </w:rPr>
        <w:t xml:space="preserve">2.5 De la adenda No. 1 </w:t>
      </w:r>
    </w:p>
    <w:p w14:paraId="54F1DD06" w14:textId="77777777" w:rsidR="00C32049" w:rsidRPr="00C32049" w:rsidRDefault="00C32049" w:rsidP="00C32049">
      <w:pPr>
        <w:jc w:val="both"/>
        <w:rPr>
          <w:rFonts w:ascii="Arial" w:hAnsi="Arial" w:cs="Arial"/>
          <w:b/>
          <w:bCs/>
          <w:sz w:val="22"/>
          <w:szCs w:val="22"/>
        </w:rPr>
      </w:pPr>
    </w:p>
    <w:p w14:paraId="5DB9135B"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 xml:space="preserve">Una vez publicados los pliegos de condiciones definitivos, las entidades pueden modificar su contenido como consecuencia de las observaciones formuladas por los interesados o por iniciativa propia, cuando adviertan la necesidad de ajustar, aclarar o modificar algún aspecto o condición. Dichas modificaciones se realizan mediante </w:t>
      </w:r>
      <w:r w:rsidRPr="00C32049">
        <w:rPr>
          <w:rFonts w:ascii="Arial" w:hAnsi="Arial" w:cs="Arial"/>
          <w:b/>
          <w:bCs/>
          <w:sz w:val="22"/>
          <w:szCs w:val="22"/>
          <w:u w:val="single"/>
        </w:rPr>
        <w:t>adendas</w:t>
      </w:r>
      <w:r w:rsidRPr="00C32049">
        <w:rPr>
          <w:rFonts w:ascii="Arial" w:hAnsi="Arial" w:cs="Arial"/>
          <w:sz w:val="22"/>
          <w:szCs w:val="22"/>
        </w:rPr>
        <w:t>.</w:t>
      </w:r>
    </w:p>
    <w:p w14:paraId="202884A5" w14:textId="77777777" w:rsidR="00C32049" w:rsidRPr="00C32049" w:rsidRDefault="00C32049" w:rsidP="00C32049">
      <w:pPr>
        <w:jc w:val="both"/>
        <w:rPr>
          <w:rFonts w:ascii="Arial" w:hAnsi="Arial" w:cs="Arial"/>
          <w:sz w:val="22"/>
          <w:szCs w:val="22"/>
        </w:rPr>
      </w:pPr>
    </w:p>
    <w:p w14:paraId="4D7567B6"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De acuerdo con la jurisprudencia del Consejo de Estado, estas modificaciones también pueden efectuarse a través de cualquier otro documento que contenga la manifestación expresa de voluntad de la entidad para aclarar, adicionar, sustituir o modificar aspectos de los documentos del proceso de contratación. Lo anterior es procedente independientemente de la denominación que se otorgue al documento —sea o no “adenda”—, siempre que su contenido implique una modificación de los pliegos de condiciones y que dicha actuación se realice dentro de la oportunidad legal prevista para ello.</w:t>
      </w:r>
    </w:p>
    <w:p w14:paraId="2C188CAE" w14:textId="77777777" w:rsidR="00C32049" w:rsidRPr="00C32049" w:rsidRDefault="00C32049" w:rsidP="00C32049">
      <w:pPr>
        <w:jc w:val="both"/>
        <w:rPr>
          <w:rFonts w:ascii="Arial" w:hAnsi="Arial" w:cs="Arial"/>
          <w:sz w:val="22"/>
          <w:szCs w:val="22"/>
        </w:rPr>
      </w:pPr>
    </w:p>
    <w:p w14:paraId="44D9C7B4"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Ahora bien, conviene diferenciar dos (2) tipos de ajustes que pueden dar lugar a la expedición de adendas: (i) aquellos relacionados con las condiciones técnicas, jurídicas y económicas del pliego definitivo, así como cualquier otro aspecto distinto del cronograma del procedimiento de selección; y (</w:t>
      </w:r>
      <w:proofErr w:type="spellStart"/>
      <w:r w:rsidRPr="00C32049">
        <w:rPr>
          <w:rFonts w:ascii="Arial" w:hAnsi="Arial" w:cs="Arial"/>
          <w:sz w:val="22"/>
          <w:szCs w:val="22"/>
        </w:rPr>
        <w:t>ii</w:t>
      </w:r>
      <w:proofErr w:type="spellEnd"/>
      <w:r w:rsidRPr="00C32049">
        <w:rPr>
          <w:rFonts w:ascii="Arial" w:hAnsi="Arial" w:cs="Arial"/>
          <w:sz w:val="22"/>
          <w:szCs w:val="22"/>
        </w:rPr>
        <w:t>) los ajustes propios del cronograma.</w:t>
      </w:r>
    </w:p>
    <w:p w14:paraId="71CF0BB8" w14:textId="77777777" w:rsidR="00C32049" w:rsidRPr="00C32049" w:rsidRDefault="00C32049" w:rsidP="00C32049">
      <w:pPr>
        <w:jc w:val="both"/>
        <w:rPr>
          <w:rFonts w:ascii="Arial" w:hAnsi="Arial" w:cs="Arial"/>
          <w:sz w:val="22"/>
          <w:szCs w:val="22"/>
        </w:rPr>
      </w:pPr>
    </w:p>
    <w:p w14:paraId="2F018F0D"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En relación con el primer tipo, las adendas pueden expedirse hasta antes del vencimiento del plazo para la recepción de ofertas. Por su parte, las adendas relativas al cronograma pueden emitirse incluso con posterioridad al cierre del proceso, siempre que sea antes de la adjudicación del contrato y únicamente para modificar los plazos de las etapas subsiguientes</w:t>
      </w:r>
      <w:r w:rsidRPr="00C32049">
        <w:rPr>
          <w:rFonts w:ascii="Arial" w:hAnsi="Arial" w:cs="Arial"/>
          <w:sz w:val="22"/>
          <w:szCs w:val="22"/>
          <w:vertAlign w:val="superscript"/>
        </w:rPr>
        <w:footnoteReference w:id="1"/>
      </w:r>
      <w:r w:rsidRPr="00C32049">
        <w:rPr>
          <w:rFonts w:ascii="Arial" w:hAnsi="Arial" w:cs="Arial"/>
          <w:sz w:val="22"/>
          <w:szCs w:val="22"/>
        </w:rPr>
        <w:t>.</w:t>
      </w:r>
    </w:p>
    <w:p w14:paraId="69D9AD47" w14:textId="77777777" w:rsidR="00C32049" w:rsidRPr="00C32049" w:rsidRDefault="00C32049" w:rsidP="00C32049">
      <w:pPr>
        <w:jc w:val="both"/>
        <w:rPr>
          <w:rFonts w:ascii="Arial" w:hAnsi="Arial" w:cs="Arial"/>
          <w:sz w:val="22"/>
          <w:szCs w:val="22"/>
        </w:rPr>
      </w:pPr>
    </w:p>
    <w:p w14:paraId="5ED9688A"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 xml:space="preserve">Así las cosas, téngase en cuenta que la adenda No. 1 se efectuó en virtud de las observaciones allegadas dentro y fuera del término establecido, las cuales fueron resueltas, tal y como consta en el expediente del proceso de selección. </w:t>
      </w:r>
    </w:p>
    <w:p w14:paraId="558C579D" w14:textId="77777777" w:rsidR="00C32049" w:rsidRPr="00C32049" w:rsidRDefault="00C32049" w:rsidP="00C32049">
      <w:pPr>
        <w:jc w:val="both"/>
        <w:rPr>
          <w:rFonts w:ascii="Arial" w:hAnsi="Arial" w:cs="Arial"/>
          <w:sz w:val="22"/>
          <w:szCs w:val="22"/>
        </w:rPr>
      </w:pPr>
    </w:p>
    <w:p w14:paraId="040A07F1"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 xml:space="preserve">La expedición de adendas, en cualquiera de los eventos antes señalados, debe observar el </w:t>
      </w:r>
      <w:r w:rsidRPr="00C32049">
        <w:rPr>
          <w:rFonts w:ascii="Arial" w:hAnsi="Arial" w:cs="Arial"/>
          <w:b/>
          <w:bCs/>
          <w:sz w:val="22"/>
          <w:szCs w:val="22"/>
          <w:u w:val="single"/>
          <w:lang w:val="es-CO"/>
        </w:rPr>
        <w:t>principio de transparencia</w:t>
      </w:r>
      <w:r w:rsidRPr="00C32049">
        <w:rPr>
          <w:rFonts w:ascii="Arial" w:hAnsi="Arial" w:cs="Arial"/>
          <w:sz w:val="22"/>
          <w:szCs w:val="22"/>
          <w:lang w:val="es-CO"/>
        </w:rPr>
        <w:t xml:space="preserve"> consagrado en el artículo 24 de la Ley 80 de 1993, el cual busca dotar la actividad contractual estatal de garantías orientadas a asegurar su desarrollo con plena publicidad, respeto por la igualdad de oportunidades de quienes aspiran a contratar con el Estado, imparcialidad en las actuaciones y la satisfacción del interés general, con el propósito de que la Administración seleccione la oferta más favorable.</w:t>
      </w:r>
    </w:p>
    <w:p w14:paraId="0FDF5D3B" w14:textId="77777777" w:rsidR="00C32049" w:rsidRPr="00C32049" w:rsidRDefault="00C32049" w:rsidP="00C32049">
      <w:pPr>
        <w:jc w:val="both"/>
        <w:rPr>
          <w:rFonts w:ascii="Arial" w:hAnsi="Arial" w:cs="Arial"/>
          <w:sz w:val="22"/>
          <w:szCs w:val="22"/>
          <w:lang w:val="es-CO"/>
        </w:rPr>
      </w:pPr>
    </w:p>
    <w:p w14:paraId="07084826"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 xml:space="preserve">En este contexto, </w:t>
      </w:r>
      <w:r w:rsidRPr="00C32049">
        <w:rPr>
          <w:rFonts w:ascii="Arial" w:hAnsi="Arial" w:cs="Arial"/>
          <w:b/>
          <w:bCs/>
          <w:sz w:val="22"/>
          <w:szCs w:val="22"/>
          <w:u w:val="single"/>
          <w:lang w:val="es-CO"/>
        </w:rPr>
        <w:t>el principio de igualdad</w:t>
      </w:r>
      <w:r w:rsidRPr="00C32049">
        <w:rPr>
          <w:rFonts w:ascii="Arial" w:hAnsi="Arial" w:cs="Arial"/>
          <w:sz w:val="22"/>
          <w:szCs w:val="22"/>
          <w:lang w:val="es-CO"/>
        </w:rPr>
        <w:t xml:space="preserve"> impone a la Administración el deber correlativo de garantizar a los interesados un trato equitativo durante el proceso de selección, lo que se traduce, entre otros aspectos, en que: (i) la adjudicación del contrato recaiga en la mejor propuesta; (</w:t>
      </w:r>
      <w:proofErr w:type="spellStart"/>
      <w:r w:rsidRPr="00C32049">
        <w:rPr>
          <w:rFonts w:ascii="Arial" w:hAnsi="Arial" w:cs="Arial"/>
          <w:sz w:val="22"/>
          <w:szCs w:val="22"/>
          <w:lang w:val="es-CO"/>
        </w:rPr>
        <w:t>ii</w:t>
      </w:r>
      <w:proofErr w:type="spellEnd"/>
      <w:r w:rsidRPr="00C32049">
        <w:rPr>
          <w:rFonts w:ascii="Arial" w:hAnsi="Arial" w:cs="Arial"/>
          <w:sz w:val="22"/>
          <w:szCs w:val="22"/>
          <w:lang w:val="es-CO"/>
        </w:rPr>
        <w:t>) se promueva la mayor concurrencia de oferentes; (</w:t>
      </w:r>
      <w:proofErr w:type="spellStart"/>
      <w:r w:rsidRPr="00C32049">
        <w:rPr>
          <w:rFonts w:ascii="Arial" w:hAnsi="Arial" w:cs="Arial"/>
          <w:sz w:val="22"/>
          <w:szCs w:val="22"/>
          <w:lang w:val="es-CO"/>
        </w:rPr>
        <w:t>iii</w:t>
      </w:r>
      <w:proofErr w:type="spellEnd"/>
      <w:r w:rsidRPr="00C32049">
        <w:rPr>
          <w:rFonts w:ascii="Arial" w:hAnsi="Arial" w:cs="Arial"/>
          <w:sz w:val="22"/>
          <w:szCs w:val="22"/>
          <w:lang w:val="es-CO"/>
        </w:rPr>
        <w:t>) ningún participante sea objeto de discriminación injustificada; (</w:t>
      </w:r>
      <w:proofErr w:type="spellStart"/>
      <w:r w:rsidRPr="00C32049">
        <w:rPr>
          <w:rFonts w:ascii="Arial" w:hAnsi="Arial" w:cs="Arial"/>
          <w:sz w:val="22"/>
          <w:szCs w:val="22"/>
          <w:lang w:val="es-CO"/>
        </w:rPr>
        <w:t>iv</w:t>
      </w:r>
      <w:proofErr w:type="spellEnd"/>
      <w:r w:rsidRPr="00C32049">
        <w:rPr>
          <w:rFonts w:ascii="Arial" w:hAnsi="Arial" w:cs="Arial"/>
          <w:sz w:val="22"/>
          <w:szCs w:val="22"/>
          <w:lang w:val="es-CO"/>
        </w:rPr>
        <w:t>) todos dispongan del mismo plazo para la presentación de sus ofertas; (v) las propuestas se sometan en igualdad de condiciones a las reglas fijadas por la entidad; y (vi) la decisión de adjudicación se fundamente en criterios objetivos y verificables.</w:t>
      </w:r>
    </w:p>
    <w:p w14:paraId="63C4979E" w14:textId="77777777" w:rsidR="00C32049" w:rsidRPr="00C32049" w:rsidRDefault="00C32049" w:rsidP="00C32049">
      <w:pPr>
        <w:jc w:val="both"/>
        <w:rPr>
          <w:rFonts w:ascii="Arial" w:hAnsi="Arial" w:cs="Arial"/>
          <w:sz w:val="22"/>
          <w:szCs w:val="22"/>
          <w:lang w:val="es-CO"/>
        </w:rPr>
      </w:pPr>
    </w:p>
    <w:p w14:paraId="07F982FC"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 xml:space="preserve">Por su parte, </w:t>
      </w:r>
      <w:r w:rsidRPr="00C32049">
        <w:rPr>
          <w:rFonts w:ascii="Arial" w:hAnsi="Arial" w:cs="Arial"/>
          <w:b/>
          <w:bCs/>
          <w:sz w:val="22"/>
          <w:szCs w:val="22"/>
          <w:u w:val="single"/>
          <w:lang w:val="es-CO"/>
        </w:rPr>
        <w:t>el principio de economía</w:t>
      </w:r>
      <w:r w:rsidRPr="00C32049">
        <w:rPr>
          <w:rFonts w:ascii="Arial" w:hAnsi="Arial" w:cs="Arial"/>
          <w:sz w:val="22"/>
          <w:szCs w:val="22"/>
          <w:lang w:val="es-CO"/>
        </w:rPr>
        <w:t>, previsto en el artículo 25 de la Ley 80 de 1993, establece que los procedimientos y etapas del proceso contractual deben limitarse a aquellos estrictamente necesarios para asegurar la selección objetiva de la propuesta más favorable. En consecuencia, la normativa dispone la fijación de términos preclusivos y perentorios para cada una de las etapas del proceso de selección.</w:t>
      </w:r>
    </w:p>
    <w:p w14:paraId="0A22B752" w14:textId="77777777" w:rsidR="00C32049" w:rsidRPr="00C32049" w:rsidRDefault="00C32049" w:rsidP="00C32049">
      <w:pPr>
        <w:jc w:val="both"/>
        <w:rPr>
          <w:rFonts w:ascii="Arial" w:hAnsi="Arial" w:cs="Arial"/>
          <w:sz w:val="22"/>
          <w:szCs w:val="22"/>
          <w:lang w:val="es-CO"/>
        </w:rPr>
      </w:pPr>
    </w:p>
    <w:p w14:paraId="70DF79FC" w14:textId="77777777" w:rsidR="00C32049" w:rsidRPr="00C32049" w:rsidRDefault="00C32049" w:rsidP="00C32049">
      <w:pPr>
        <w:jc w:val="both"/>
        <w:rPr>
          <w:rFonts w:ascii="Arial" w:hAnsi="Arial" w:cs="Arial"/>
          <w:sz w:val="22"/>
          <w:szCs w:val="22"/>
          <w:lang w:val="es-CO"/>
        </w:rPr>
      </w:pPr>
      <w:r w:rsidRPr="00C32049">
        <w:rPr>
          <w:rFonts w:ascii="Arial" w:hAnsi="Arial" w:cs="Arial"/>
          <w:sz w:val="22"/>
          <w:szCs w:val="22"/>
          <w:lang w:val="es-CO"/>
        </w:rPr>
        <w:t xml:space="preserve">En virtud de este principio, tanto las entidades estatales como los participantes del proceso, así como los servidores públicos involucrados, se encuentran obligados a respetar y acatar las etapas </w:t>
      </w:r>
      <w:r w:rsidRPr="00C32049">
        <w:rPr>
          <w:rFonts w:ascii="Arial" w:hAnsi="Arial" w:cs="Arial"/>
          <w:sz w:val="22"/>
          <w:szCs w:val="22"/>
          <w:lang w:val="es-CO"/>
        </w:rPr>
        <w:lastRenderedPageBreak/>
        <w:t>y los plazos definidos, sin que sea posible desconocerlos o alterarlos por fuera de los mecanismos legalmente previstos.</w:t>
      </w:r>
    </w:p>
    <w:p w14:paraId="4857B766" w14:textId="77777777" w:rsidR="00C32049" w:rsidRPr="00C32049" w:rsidRDefault="00C32049" w:rsidP="00C32049">
      <w:pPr>
        <w:jc w:val="both"/>
        <w:rPr>
          <w:rFonts w:ascii="Arial" w:hAnsi="Arial" w:cs="Arial"/>
          <w:b/>
          <w:bCs/>
          <w:sz w:val="22"/>
          <w:szCs w:val="22"/>
        </w:rPr>
      </w:pPr>
    </w:p>
    <w:p w14:paraId="6823B1D3"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Del análisis técnico efectuado se concluye que:</w:t>
      </w:r>
    </w:p>
    <w:p w14:paraId="3C69C977" w14:textId="77777777" w:rsidR="00C32049" w:rsidRPr="00C32049" w:rsidRDefault="00C32049" w:rsidP="00C32049">
      <w:pPr>
        <w:jc w:val="both"/>
        <w:rPr>
          <w:rFonts w:ascii="Arial" w:hAnsi="Arial" w:cs="Arial"/>
          <w:sz w:val="22"/>
          <w:szCs w:val="22"/>
        </w:rPr>
      </w:pPr>
    </w:p>
    <w:p w14:paraId="41629D97" w14:textId="77777777" w:rsidR="00C32049" w:rsidRPr="00C32049" w:rsidRDefault="00C32049" w:rsidP="00C32049">
      <w:pPr>
        <w:numPr>
          <w:ilvl w:val="0"/>
          <w:numId w:val="3"/>
        </w:numPr>
        <w:suppressAutoHyphens w:val="0"/>
        <w:autoSpaceDN/>
        <w:spacing w:after="160" w:line="259" w:lineRule="auto"/>
        <w:jc w:val="both"/>
        <w:textAlignment w:val="auto"/>
        <w:rPr>
          <w:rFonts w:ascii="Arial" w:hAnsi="Arial" w:cs="Arial"/>
          <w:sz w:val="22"/>
          <w:szCs w:val="22"/>
        </w:rPr>
      </w:pPr>
      <w:r w:rsidRPr="00C32049">
        <w:rPr>
          <w:rFonts w:ascii="Arial" w:hAnsi="Arial" w:cs="Arial"/>
          <w:sz w:val="22"/>
          <w:szCs w:val="22"/>
        </w:rPr>
        <w:t>No se configuró inhabilidad o incompatibilidad sobreviniente alguna respecto del adjudicatario.</w:t>
      </w:r>
    </w:p>
    <w:p w14:paraId="7F448F01" w14:textId="77777777" w:rsidR="00C32049" w:rsidRPr="00C32049" w:rsidRDefault="00C32049" w:rsidP="00C32049">
      <w:pPr>
        <w:numPr>
          <w:ilvl w:val="0"/>
          <w:numId w:val="3"/>
        </w:numPr>
        <w:suppressAutoHyphens w:val="0"/>
        <w:autoSpaceDN/>
        <w:spacing w:after="160" w:line="259" w:lineRule="auto"/>
        <w:jc w:val="both"/>
        <w:textAlignment w:val="auto"/>
        <w:rPr>
          <w:rFonts w:ascii="Arial" w:hAnsi="Arial" w:cs="Arial"/>
          <w:sz w:val="22"/>
          <w:szCs w:val="22"/>
        </w:rPr>
      </w:pPr>
      <w:r w:rsidRPr="00C32049">
        <w:rPr>
          <w:rFonts w:ascii="Arial" w:hAnsi="Arial" w:cs="Arial"/>
          <w:sz w:val="22"/>
          <w:szCs w:val="22"/>
        </w:rPr>
        <w:t>Los argumentos del convocante corresponden a diferencias de criterio y desacuerdos evaluativos, los cuales no constituyen causal válida para la revocatoria directa del acto de adjudicación.</w:t>
      </w:r>
    </w:p>
    <w:p w14:paraId="042F21D0" w14:textId="77777777" w:rsidR="00C32049" w:rsidRPr="00C32049" w:rsidRDefault="00C32049" w:rsidP="00C32049">
      <w:pPr>
        <w:jc w:val="both"/>
        <w:rPr>
          <w:rFonts w:ascii="Arial" w:hAnsi="Arial" w:cs="Arial"/>
          <w:sz w:val="22"/>
          <w:szCs w:val="22"/>
        </w:rPr>
      </w:pPr>
    </w:p>
    <w:p w14:paraId="1F30D333" w14:textId="77777777" w:rsidR="00C32049" w:rsidRPr="00C32049" w:rsidRDefault="00C32049" w:rsidP="00C32049">
      <w:pPr>
        <w:numPr>
          <w:ilvl w:val="1"/>
          <w:numId w:val="3"/>
        </w:numPr>
        <w:spacing w:after="200" w:line="276" w:lineRule="auto"/>
        <w:jc w:val="both"/>
        <w:rPr>
          <w:rFonts w:ascii="Arial" w:hAnsi="Arial" w:cs="Arial"/>
          <w:b/>
          <w:bCs/>
        </w:rPr>
      </w:pPr>
      <w:r w:rsidRPr="00C32049">
        <w:rPr>
          <w:rFonts w:ascii="Arial" w:hAnsi="Arial" w:cs="Arial"/>
          <w:b/>
          <w:bCs/>
        </w:rPr>
        <w:t>CONCLUSIÓN Y RECOMENDACIÓN</w:t>
      </w:r>
    </w:p>
    <w:p w14:paraId="2F230C91" w14:textId="77777777" w:rsidR="00C32049" w:rsidRPr="00C32049" w:rsidRDefault="00C32049" w:rsidP="00C32049">
      <w:pPr>
        <w:jc w:val="both"/>
        <w:rPr>
          <w:rFonts w:ascii="Arial" w:hAnsi="Arial" w:cs="Arial"/>
          <w:sz w:val="22"/>
          <w:szCs w:val="22"/>
        </w:rPr>
      </w:pPr>
      <w:r w:rsidRPr="00C32049">
        <w:rPr>
          <w:rFonts w:ascii="Arial" w:hAnsi="Arial" w:cs="Arial"/>
          <w:sz w:val="22"/>
          <w:szCs w:val="22"/>
        </w:rPr>
        <w:t xml:space="preserve">Con fundamento en las consideraciones técnicas y jurídicas expuestas, esta Subdirección concluye que no resulta procedente acceder a las pretensiones del convocante </w:t>
      </w:r>
      <w:proofErr w:type="gramStart"/>
      <w:r w:rsidRPr="00C32049">
        <w:rPr>
          <w:rFonts w:ascii="Arial" w:hAnsi="Arial" w:cs="Arial"/>
          <w:sz w:val="22"/>
          <w:szCs w:val="22"/>
        </w:rPr>
        <w:t>y</w:t>
      </w:r>
      <w:proofErr w:type="gramEnd"/>
      <w:r w:rsidRPr="00C32049">
        <w:rPr>
          <w:rFonts w:ascii="Arial" w:hAnsi="Arial" w:cs="Arial"/>
          <w:sz w:val="22"/>
          <w:szCs w:val="22"/>
        </w:rPr>
        <w:t xml:space="preserve"> en consecuencia, se recomienda desestimar la solicitud presentada por CONSULTORA CAPITAL S.A.S. – BIC.</w:t>
      </w:r>
    </w:p>
    <w:p w14:paraId="650B68AA" w14:textId="77777777" w:rsidR="006F53B4" w:rsidRPr="00534301" w:rsidRDefault="006F53B4" w:rsidP="006F53B4">
      <w:pPr>
        <w:spacing w:after="4" w:line="250" w:lineRule="auto"/>
        <w:ind w:left="12" w:right="42"/>
        <w:jc w:val="both"/>
        <w:rPr>
          <w:rFonts w:ascii="Arial" w:hAnsi="Arial" w:cs="Arial"/>
          <w:szCs w:val="22"/>
          <w:lang w:eastAsia="es-CO"/>
        </w:rPr>
      </w:pPr>
    </w:p>
    <w:p w14:paraId="09BD672C" w14:textId="001E3D6F" w:rsidR="005D5692" w:rsidRDefault="006F53B4" w:rsidP="00E45DDF">
      <w:pPr>
        <w:jc w:val="both"/>
        <w:rPr>
          <w:rFonts w:ascii="Arial" w:hAnsi="Arial" w:cs="Arial"/>
          <w:sz w:val="22"/>
          <w:szCs w:val="22"/>
        </w:rPr>
      </w:pPr>
      <w:r>
        <w:rPr>
          <w:rFonts w:ascii="Arial" w:eastAsia="Arial" w:hAnsi="Arial" w:cs="Arial"/>
          <w:szCs w:val="22"/>
        </w:rPr>
        <w:t>Cordialmente,</w:t>
      </w:r>
    </w:p>
    <w:p w14:paraId="3BA409AD" w14:textId="6688CAB4" w:rsidR="005D5692" w:rsidRDefault="005D5692" w:rsidP="00E45DDF">
      <w:pPr>
        <w:jc w:val="both"/>
        <w:rPr>
          <w:rFonts w:ascii="Arial" w:hAnsi="Arial" w:cs="Arial"/>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6"/>
      </w:tblGrid>
      <w:tr w:rsidR="000F4036" w14:paraId="38D51C59" w14:textId="77777777" w:rsidTr="000F4036">
        <w:tc>
          <w:tcPr>
            <w:tcW w:w="9396" w:type="dxa"/>
          </w:tcPr>
          <w:p w14:paraId="1859671A" w14:textId="610F4490" w:rsidR="000F4036" w:rsidRDefault="00D662F9" w:rsidP="00A14BE5">
            <w:pPr>
              <w:ind w:left="-105"/>
              <w:jc w:val="both"/>
              <w:rPr>
                <w:rFonts w:ascii="Arial" w:hAnsi="Arial" w:cs="Arial"/>
                <w:sz w:val="22"/>
                <w:szCs w:val="22"/>
              </w:rPr>
            </w:pPr>
            <w:sdt>
              <w:sdtPr>
                <w:rPr>
                  <w:rFonts w:ascii="Arial" w:hAnsi="Arial" w:cs="Arial"/>
                  <w:color w:val="222222"/>
                  <w:sz w:val="22"/>
                  <w:szCs w:val="22"/>
                  <w:shd w:val="clear" w:color="auto" w:fill="FFFFFF"/>
                </w:rPr>
                <w:id w:val="732354970"/>
                <w:lock w:val="sdtContentLocked"/>
                <w:placeholder>
                  <w:docPart w:val="DefaultPlaceholder_-1854013440"/>
                </w:placeholder>
              </w:sdtPr>
              <w:sdtEndPr/>
              <w:sdtContent>
                <w:r w:rsidR="000F4036" w:rsidRPr="007312F1">
                  <w:rPr>
                    <w:rFonts w:ascii="Arial" w:hAnsi="Arial" w:cs="Arial"/>
                    <w:color w:val="222222"/>
                    <w:sz w:val="22"/>
                    <w:szCs w:val="22"/>
                    <w:shd w:val="clear" w:color="auto" w:fill="FFFFFF"/>
                  </w:rPr>
                  <w:t>${F_FIRMA}</w:t>
                </w:r>
              </w:sdtContent>
            </w:sdt>
          </w:p>
        </w:tc>
      </w:tr>
      <w:tr w:rsidR="000F4036" w14:paraId="2FB8B587" w14:textId="77777777" w:rsidTr="000F4036">
        <w:tc>
          <w:tcPr>
            <w:tcW w:w="9396" w:type="dxa"/>
          </w:tcPr>
          <w:p w14:paraId="6501DBD1" w14:textId="0E458AE2" w:rsidR="009D33A9" w:rsidRDefault="009D33A9" w:rsidP="00A14BE5">
            <w:pPr>
              <w:ind w:left="-105"/>
              <w:jc w:val="both"/>
              <w:rPr>
                <w:rFonts w:ascii="Arial" w:hAnsi="Arial" w:cs="Arial"/>
                <w:sz w:val="22"/>
                <w:szCs w:val="22"/>
              </w:rPr>
            </w:pPr>
            <w:r>
              <w:rPr>
                <w:rFonts w:ascii="Arial" w:hAnsi="Arial" w:cs="Arial"/>
                <w:sz w:val="22"/>
                <w:szCs w:val="22"/>
              </w:rPr>
              <w:t>Nombre del firmante</w:t>
            </w:r>
          </w:p>
          <w:p w14:paraId="62AD5C3F" w14:textId="54DB7BBF" w:rsidR="000F4036" w:rsidRDefault="00281BE4" w:rsidP="00A14BE5">
            <w:pPr>
              <w:ind w:left="-105"/>
              <w:jc w:val="both"/>
              <w:rPr>
                <w:rFonts w:ascii="Arial" w:hAnsi="Arial" w:cs="Arial"/>
                <w:sz w:val="22"/>
                <w:szCs w:val="22"/>
              </w:rPr>
            </w:pPr>
            <w:r>
              <w:rPr>
                <w:rFonts w:ascii="Arial" w:hAnsi="Arial" w:cs="Arial"/>
                <w:sz w:val="22"/>
                <w:szCs w:val="22"/>
              </w:rPr>
              <w:t>Cargo</w:t>
            </w:r>
            <w:r w:rsidR="000F4036">
              <w:rPr>
                <w:rFonts w:ascii="Arial" w:hAnsi="Arial" w:cs="Arial"/>
                <w:sz w:val="22"/>
                <w:szCs w:val="22"/>
              </w:rPr>
              <w:t xml:space="preserve"> del firmante</w:t>
            </w:r>
          </w:p>
        </w:tc>
      </w:tr>
    </w:tbl>
    <w:p w14:paraId="5CCA75D9" w14:textId="77777777" w:rsidR="008D2773" w:rsidRPr="001F0FA0" w:rsidRDefault="008D2773" w:rsidP="006E570D">
      <w:pPr>
        <w:jc w:val="both"/>
        <w:rPr>
          <w:rFonts w:ascii="Arial" w:hAnsi="Arial" w:cs="Arial"/>
          <w:sz w:val="22"/>
          <w:szCs w:val="22"/>
        </w:rPr>
      </w:pPr>
    </w:p>
    <w:p w14:paraId="5E17FD0B" w14:textId="364F4064" w:rsidR="008D2773" w:rsidRDefault="00D662F9" w:rsidP="006E570D">
      <w:pPr>
        <w:jc w:val="both"/>
        <w:rPr>
          <w:rFonts w:ascii="Arial" w:hAnsi="Arial" w:cs="Arial"/>
          <w:sz w:val="16"/>
          <w:szCs w:val="16"/>
        </w:rPr>
      </w:pPr>
      <w:sdt>
        <w:sdtPr>
          <w:rPr>
            <w:rFonts w:ascii="Arial" w:hAnsi="Arial" w:cs="Arial"/>
            <w:sz w:val="16"/>
            <w:szCs w:val="16"/>
          </w:rPr>
          <w:id w:val="852226905"/>
          <w:lock w:val="sdtContentLocked"/>
          <w:placeholder>
            <w:docPart w:val="DefaultPlaceholder_-1854013440"/>
          </w:placeholder>
        </w:sdtPr>
        <w:sdtEndPr/>
        <w:sdtContent>
          <w:r w:rsidR="008D2773">
            <w:rPr>
              <w:rFonts w:ascii="Arial" w:hAnsi="Arial" w:cs="Arial"/>
              <w:sz w:val="16"/>
              <w:szCs w:val="16"/>
            </w:rPr>
            <w:t>Anexos:</w:t>
          </w:r>
        </w:sdtContent>
      </w:sdt>
      <w:r w:rsidR="000A4E37">
        <w:rPr>
          <w:rFonts w:ascii="Arial" w:hAnsi="Arial" w:cs="Arial"/>
          <w:sz w:val="16"/>
          <w:szCs w:val="16"/>
        </w:rPr>
        <w:tab/>
        <w:t>N/A</w:t>
      </w:r>
    </w:p>
    <w:p w14:paraId="6FDB4C0F" w14:textId="77B19747" w:rsidR="008D2773" w:rsidRDefault="00D662F9" w:rsidP="006E570D">
      <w:pPr>
        <w:jc w:val="both"/>
        <w:rPr>
          <w:rFonts w:ascii="Arial" w:hAnsi="Arial" w:cs="Arial"/>
          <w:sz w:val="16"/>
          <w:szCs w:val="16"/>
        </w:rPr>
      </w:pPr>
      <w:sdt>
        <w:sdtPr>
          <w:rPr>
            <w:rFonts w:ascii="Arial" w:hAnsi="Arial" w:cs="Arial"/>
            <w:sz w:val="16"/>
            <w:szCs w:val="16"/>
          </w:rPr>
          <w:id w:val="-35815556"/>
          <w:lock w:val="sdtContentLocked"/>
          <w:placeholder>
            <w:docPart w:val="DefaultPlaceholder_-1854013440"/>
          </w:placeholder>
        </w:sdtPr>
        <w:sdtEndPr/>
        <w:sdtContent>
          <w:r w:rsidR="008D2773">
            <w:rPr>
              <w:rFonts w:ascii="Arial" w:hAnsi="Arial" w:cs="Arial"/>
              <w:sz w:val="16"/>
              <w:szCs w:val="16"/>
            </w:rPr>
            <w:t>Copia:</w:t>
          </w:r>
        </w:sdtContent>
      </w:sdt>
      <w:r w:rsidR="000A4E37">
        <w:rPr>
          <w:rFonts w:ascii="Arial" w:hAnsi="Arial" w:cs="Arial"/>
          <w:sz w:val="16"/>
          <w:szCs w:val="16"/>
        </w:rPr>
        <w:tab/>
        <w:t>N/A</w:t>
      </w:r>
    </w:p>
    <w:p w14:paraId="04F30361" w14:textId="068F3574" w:rsidR="00C32049" w:rsidRPr="00C32049" w:rsidRDefault="00D662F9" w:rsidP="00C32049">
      <w:pPr>
        <w:jc w:val="both"/>
        <w:rPr>
          <w:rFonts w:ascii="Arial" w:hAnsi="Arial" w:cs="Arial"/>
          <w:sz w:val="16"/>
          <w:szCs w:val="16"/>
        </w:rPr>
      </w:pPr>
      <w:sdt>
        <w:sdtPr>
          <w:rPr>
            <w:rFonts w:ascii="Arial" w:hAnsi="Arial" w:cs="Arial"/>
            <w:sz w:val="16"/>
            <w:szCs w:val="16"/>
          </w:rPr>
          <w:id w:val="-531031236"/>
          <w:lock w:val="sdtContentLocked"/>
          <w:placeholder>
            <w:docPart w:val="DefaultPlaceholder_-1854013440"/>
          </w:placeholder>
        </w:sdtPr>
        <w:sdtEndPr/>
        <w:sdtContent>
          <w:r w:rsidR="008D2773" w:rsidRPr="008D2773">
            <w:rPr>
              <w:rFonts w:ascii="Arial" w:hAnsi="Arial" w:cs="Arial"/>
              <w:sz w:val="16"/>
              <w:szCs w:val="16"/>
            </w:rPr>
            <w:t>Elaboró:</w:t>
          </w:r>
        </w:sdtContent>
      </w:sdt>
      <w:r w:rsidR="000A4E37">
        <w:rPr>
          <w:rFonts w:ascii="Arial" w:hAnsi="Arial" w:cs="Arial"/>
          <w:sz w:val="16"/>
          <w:szCs w:val="16"/>
        </w:rPr>
        <w:tab/>
      </w:r>
      <w:proofErr w:type="gramStart"/>
      <w:r w:rsidR="00C32049" w:rsidRPr="00C32049">
        <w:rPr>
          <w:rFonts w:ascii="Arial" w:hAnsi="Arial" w:cs="Arial"/>
          <w:sz w:val="16"/>
          <w:szCs w:val="16"/>
        </w:rPr>
        <w:t>Tabata  Guerrero</w:t>
      </w:r>
      <w:proofErr w:type="gramEnd"/>
      <w:r w:rsidR="00C32049" w:rsidRPr="00C32049">
        <w:rPr>
          <w:rFonts w:ascii="Arial" w:hAnsi="Arial" w:cs="Arial"/>
          <w:sz w:val="16"/>
          <w:szCs w:val="16"/>
        </w:rPr>
        <w:t xml:space="preserve"> - Contratista Subdirección Técnica de Parques- APPS</w:t>
      </w:r>
    </w:p>
    <w:p w14:paraId="4B01C972" w14:textId="79D54A45" w:rsidR="008D2773" w:rsidRPr="008D2773" w:rsidRDefault="00C32049" w:rsidP="006E570D">
      <w:pPr>
        <w:jc w:val="both"/>
        <w:rPr>
          <w:rFonts w:ascii="Arial" w:hAnsi="Arial" w:cs="Arial"/>
          <w:sz w:val="16"/>
          <w:szCs w:val="16"/>
        </w:rPr>
      </w:pPr>
      <w:r w:rsidRPr="00C32049">
        <w:rPr>
          <w:rFonts w:ascii="Arial" w:hAnsi="Arial" w:cs="Arial"/>
          <w:sz w:val="16"/>
          <w:szCs w:val="16"/>
        </w:rPr>
        <w:tab/>
        <w:t>Juan Camilo Ramirez-Contratista Subdirección Técnica de Parques- APPS</w:t>
      </w:r>
    </w:p>
    <w:p w14:paraId="0C61EB37" w14:textId="0DFB8720" w:rsidR="00C32049" w:rsidRPr="00A146FA" w:rsidRDefault="00D662F9" w:rsidP="00E77F90">
      <w:pPr>
        <w:jc w:val="both"/>
        <w:rPr>
          <w:rFonts w:ascii="Arial" w:hAnsi="Arial" w:cs="Arial"/>
          <w:sz w:val="16"/>
          <w:szCs w:val="16"/>
          <w:lang w:val="pt-PT"/>
        </w:rPr>
      </w:pPr>
      <w:sdt>
        <w:sdtPr>
          <w:rPr>
            <w:rFonts w:ascii="Arial" w:hAnsi="Arial" w:cs="Arial"/>
            <w:sz w:val="16"/>
            <w:szCs w:val="16"/>
          </w:rPr>
          <w:id w:val="1231119649"/>
          <w:lock w:val="sdtContentLocked"/>
          <w:placeholder>
            <w:docPart w:val="DefaultPlaceholder_-1854013440"/>
          </w:placeholder>
        </w:sdtPr>
        <w:sdtEndPr/>
        <w:sdtContent>
          <w:r w:rsidR="008D2773" w:rsidRPr="008D2773">
            <w:rPr>
              <w:rFonts w:ascii="Arial" w:hAnsi="Arial" w:cs="Arial"/>
              <w:sz w:val="16"/>
              <w:szCs w:val="16"/>
            </w:rPr>
            <w:t>Proyectó:</w:t>
          </w:r>
        </w:sdtContent>
      </w:sdt>
      <w:r w:rsidR="000A4E37">
        <w:rPr>
          <w:rFonts w:ascii="Arial" w:hAnsi="Arial" w:cs="Arial"/>
          <w:sz w:val="16"/>
          <w:szCs w:val="16"/>
        </w:rPr>
        <w:tab/>
      </w:r>
      <w:r w:rsidR="00C32049">
        <w:rPr>
          <w:rFonts w:ascii="Arial" w:hAnsi="Arial" w:cs="Arial"/>
          <w:sz w:val="16"/>
          <w:szCs w:val="16"/>
          <w:lang w:val="pt-PT"/>
        </w:rPr>
        <w:t xml:space="preserve">Tabata  Guerrero </w:t>
      </w:r>
      <w:r w:rsidR="00C32049" w:rsidRPr="00A146FA">
        <w:rPr>
          <w:rFonts w:ascii="Arial" w:hAnsi="Arial" w:cs="Arial"/>
          <w:sz w:val="16"/>
          <w:szCs w:val="16"/>
          <w:lang w:val="pt-PT"/>
        </w:rPr>
        <w:t xml:space="preserve">- </w:t>
      </w:r>
      <w:r w:rsidR="00C32049">
        <w:rPr>
          <w:rFonts w:ascii="Arial" w:hAnsi="Arial" w:cs="Arial"/>
          <w:sz w:val="16"/>
          <w:szCs w:val="16"/>
          <w:lang w:val="pt-PT"/>
        </w:rPr>
        <w:t xml:space="preserve">Contratista </w:t>
      </w:r>
      <w:r w:rsidR="00C32049" w:rsidRPr="00A146FA">
        <w:rPr>
          <w:rFonts w:ascii="Arial" w:hAnsi="Arial" w:cs="Arial"/>
          <w:sz w:val="16"/>
          <w:szCs w:val="16"/>
          <w:lang w:val="pt-PT"/>
        </w:rPr>
        <w:t>Subdirección Técnica de Parques- APPS</w:t>
      </w:r>
    </w:p>
    <w:p w14:paraId="238951A8" w14:textId="77777777" w:rsidR="00C32049" w:rsidRPr="00226E31" w:rsidRDefault="00C32049" w:rsidP="00E77F90">
      <w:pPr>
        <w:jc w:val="both"/>
        <w:rPr>
          <w:rFonts w:ascii="Arial" w:hAnsi="Arial" w:cs="Arial"/>
          <w:sz w:val="16"/>
          <w:szCs w:val="16"/>
          <w:lang w:val="es-CO"/>
        </w:rPr>
      </w:pPr>
      <w:r w:rsidRPr="00A146FA">
        <w:rPr>
          <w:rFonts w:ascii="Arial" w:hAnsi="Arial" w:cs="Arial"/>
          <w:sz w:val="16"/>
          <w:szCs w:val="16"/>
          <w:lang w:val="pt-PT"/>
        </w:rPr>
        <w:tab/>
      </w:r>
      <w:r w:rsidRPr="00226E31">
        <w:rPr>
          <w:rFonts w:ascii="Arial" w:hAnsi="Arial" w:cs="Arial"/>
          <w:sz w:val="16"/>
          <w:szCs w:val="16"/>
          <w:lang w:val="es-CO"/>
        </w:rPr>
        <w:t>Juan Camilo Ramirez-Contratista Subdirección Técnica de Parques- APPS</w:t>
      </w:r>
    </w:p>
    <w:p w14:paraId="1E99E6C5" w14:textId="660E681B" w:rsidR="005A7CF3" w:rsidRPr="008D2773" w:rsidRDefault="005A7CF3" w:rsidP="006E570D">
      <w:pPr>
        <w:jc w:val="both"/>
        <w:rPr>
          <w:rFonts w:ascii="Arial" w:hAnsi="Arial" w:cs="Arial"/>
          <w:sz w:val="16"/>
          <w:szCs w:val="16"/>
        </w:rPr>
      </w:pPr>
    </w:p>
    <w:p w14:paraId="4C82B0C6" w14:textId="77777777" w:rsidR="00C32049" w:rsidRDefault="00D662F9" w:rsidP="00E77F90">
      <w:pPr>
        <w:jc w:val="both"/>
        <w:rPr>
          <w:rFonts w:ascii="Arial" w:hAnsi="Arial" w:cs="Arial"/>
          <w:sz w:val="16"/>
          <w:szCs w:val="16"/>
        </w:rPr>
      </w:pPr>
      <w:sdt>
        <w:sdtPr>
          <w:rPr>
            <w:rFonts w:ascii="Arial" w:hAnsi="Arial" w:cs="Arial"/>
            <w:sz w:val="16"/>
            <w:szCs w:val="16"/>
          </w:rPr>
          <w:id w:val="1613478920"/>
          <w:lock w:val="sdtContentLocked"/>
          <w:placeholder>
            <w:docPart w:val="DefaultPlaceholder_-1854013440"/>
          </w:placeholder>
        </w:sdtPr>
        <w:sdtEndPr/>
        <w:sdtContent>
          <w:r w:rsidR="008D2773" w:rsidRPr="008D2773">
            <w:rPr>
              <w:rFonts w:ascii="Arial" w:hAnsi="Arial" w:cs="Arial"/>
              <w:sz w:val="16"/>
              <w:szCs w:val="16"/>
            </w:rPr>
            <w:t>Revisó:</w:t>
          </w:r>
        </w:sdtContent>
      </w:sdt>
      <w:r w:rsidR="000A4E37">
        <w:rPr>
          <w:rFonts w:ascii="Arial" w:hAnsi="Arial" w:cs="Arial"/>
          <w:sz w:val="16"/>
          <w:szCs w:val="16"/>
        </w:rPr>
        <w:tab/>
      </w:r>
      <w:r w:rsidR="00C32049" w:rsidRPr="00477C4F">
        <w:rPr>
          <w:rFonts w:ascii="Arial" w:hAnsi="Arial" w:cs="Arial"/>
          <w:sz w:val="16"/>
          <w:szCs w:val="16"/>
        </w:rPr>
        <w:t xml:space="preserve">Nora Alejandra Muñoz </w:t>
      </w:r>
      <w:r w:rsidR="00C32049">
        <w:rPr>
          <w:rFonts w:ascii="Arial" w:hAnsi="Arial" w:cs="Arial"/>
          <w:sz w:val="16"/>
          <w:szCs w:val="16"/>
        </w:rPr>
        <w:t>–</w:t>
      </w:r>
      <w:r w:rsidR="00C32049" w:rsidRPr="00477C4F">
        <w:rPr>
          <w:rFonts w:ascii="Arial" w:hAnsi="Arial" w:cs="Arial"/>
          <w:sz w:val="16"/>
          <w:szCs w:val="16"/>
        </w:rPr>
        <w:t xml:space="preserve"> </w:t>
      </w:r>
      <w:r w:rsidR="00C32049">
        <w:rPr>
          <w:rFonts w:ascii="Arial" w:hAnsi="Arial" w:cs="Arial"/>
          <w:sz w:val="16"/>
          <w:szCs w:val="16"/>
        </w:rPr>
        <w:t xml:space="preserve">Contratista </w:t>
      </w:r>
      <w:r w:rsidR="00C32049" w:rsidRPr="00477C4F">
        <w:rPr>
          <w:rFonts w:ascii="Arial" w:hAnsi="Arial" w:cs="Arial"/>
          <w:sz w:val="16"/>
          <w:szCs w:val="16"/>
        </w:rPr>
        <w:t>Subdirección Técnica de Parques</w:t>
      </w:r>
      <w:r w:rsidR="00C32049">
        <w:rPr>
          <w:rFonts w:ascii="Arial" w:hAnsi="Arial" w:cs="Arial"/>
          <w:sz w:val="16"/>
          <w:szCs w:val="16"/>
        </w:rPr>
        <w:t xml:space="preserve"> APPS</w:t>
      </w:r>
    </w:p>
    <w:p w14:paraId="6E35281F" w14:textId="76A5341F" w:rsidR="00872C66" w:rsidRDefault="00D662F9" w:rsidP="006E570D">
      <w:pPr>
        <w:jc w:val="both"/>
        <w:rPr>
          <w:rFonts w:ascii="Arial" w:hAnsi="Arial" w:cs="Arial"/>
          <w:sz w:val="16"/>
          <w:szCs w:val="16"/>
        </w:rPr>
      </w:pPr>
      <w:sdt>
        <w:sdtPr>
          <w:rPr>
            <w:rFonts w:ascii="Arial" w:hAnsi="Arial" w:cs="Arial"/>
            <w:sz w:val="16"/>
            <w:szCs w:val="16"/>
          </w:rPr>
          <w:id w:val="-1077735260"/>
          <w:lock w:val="sdtContentLocked"/>
          <w:placeholder>
            <w:docPart w:val="DefaultPlaceholder_-1854013440"/>
          </w:placeholder>
        </w:sdtPr>
        <w:sdtEndPr/>
        <w:sdtContent>
          <w:r w:rsidR="008D2773" w:rsidRPr="008D2773">
            <w:rPr>
              <w:rFonts w:ascii="Arial" w:hAnsi="Arial" w:cs="Arial"/>
              <w:sz w:val="16"/>
              <w:szCs w:val="16"/>
            </w:rPr>
            <w:t>Aprobó:</w:t>
          </w:r>
        </w:sdtContent>
      </w:sdt>
      <w:r w:rsidR="000A4E37">
        <w:rPr>
          <w:rFonts w:ascii="Arial" w:hAnsi="Arial" w:cs="Arial"/>
          <w:sz w:val="16"/>
          <w:szCs w:val="16"/>
        </w:rPr>
        <w:tab/>
      </w:r>
      <w:r w:rsidR="00C32049">
        <w:rPr>
          <w:rFonts w:ascii="Arial" w:hAnsi="Arial" w:cs="Arial"/>
          <w:sz w:val="16"/>
          <w:szCs w:val="16"/>
        </w:rPr>
        <w:t xml:space="preserve">Rodrigo Alberto Manrique </w:t>
      </w:r>
      <w:r w:rsidR="00C32049" w:rsidRPr="00477C4F">
        <w:rPr>
          <w:rFonts w:ascii="Arial" w:hAnsi="Arial" w:cs="Arial"/>
          <w:sz w:val="16"/>
          <w:szCs w:val="16"/>
        </w:rPr>
        <w:t xml:space="preserve">- </w:t>
      </w:r>
      <w:proofErr w:type="gramStart"/>
      <w:r w:rsidR="00C32049" w:rsidRPr="00477C4F">
        <w:rPr>
          <w:rFonts w:ascii="Arial" w:hAnsi="Arial" w:cs="Arial"/>
          <w:sz w:val="16"/>
          <w:szCs w:val="16"/>
        </w:rPr>
        <w:t>Subdirector</w:t>
      </w:r>
      <w:proofErr w:type="gramEnd"/>
      <w:r w:rsidR="00C32049" w:rsidRPr="00477C4F">
        <w:rPr>
          <w:rFonts w:ascii="Arial" w:hAnsi="Arial" w:cs="Arial"/>
          <w:sz w:val="16"/>
          <w:szCs w:val="16"/>
        </w:rPr>
        <w:t xml:space="preserve"> Técnico de Parques</w:t>
      </w:r>
    </w:p>
    <w:sectPr w:rsidR="00872C66" w:rsidSect="005D5692">
      <w:type w:val="continuous"/>
      <w:pgSz w:w="12242" w:h="15842"/>
      <w:pgMar w:top="1418" w:right="1418" w:bottom="1134" w:left="1418" w:header="567" w:footer="39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39B5" w14:textId="77777777" w:rsidR="006E25D7" w:rsidRDefault="006E25D7">
      <w:r>
        <w:separator/>
      </w:r>
    </w:p>
  </w:endnote>
  <w:endnote w:type="continuationSeparator" w:id="0">
    <w:p w14:paraId="260E3284" w14:textId="77777777" w:rsidR="006E25D7" w:rsidRDefault="006E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E256" w14:textId="112B2A00" w:rsidR="009871D5" w:rsidRDefault="009871D5">
    <w:pPr>
      <w:pStyle w:val="Piedepgina"/>
    </w:pPr>
    <w:r w:rsidRPr="002C0D18">
      <w:rPr>
        <w:rFonts w:ascii="Arial" w:hAnsi="Arial" w:cs="Arial"/>
        <w:sz w:val="16"/>
        <w:szCs w:val="16"/>
      </w:rPr>
      <w:t xml:space="preserve">Página </w:t>
    </w:r>
    <w:sdt>
      <w:sdtPr>
        <w:rPr>
          <w:rFonts w:ascii="Arial" w:hAnsi="Arial" w:cs="Arial"/>
          <w:sz w:val="16"/>
          <w:szCs w:val="16"/>
        </w:rPr>
        <w:id w:val="-75831956"/>
        <w:docPartObj>
          <w:docPartGallery w:val="Page Numbers (Bottom of Page)"/>
          <w:docPartUnique/>
        </w:docPartObj>
      </w:sdtPr>
      <w:sdtEndPr>
        <w:rPr>
          <w:rFonts w:ascii="Times New Roman" w:hAnsi="Times New Roman" w:cs="Times New Roman"/>
          <w:sz w:val="24"/>
          <w:szCs w:val="24"/>
        </w:rPr>
      </w:sdtEndPr>
      <w:sdtContent>
        <w:r w:rsidRPr="002C0D18">
          <w:rPr>
            <w:rFonts w:ascii="Arial" w:hAnsi="Arial" w:cs="Arial"/>
            <w:sz w:val="16"/>
            <w:szCs w:val="16"/>
          </w:rPr>
          <w:fldChar w:fldCharType="begin"/>
        </w:r>
        <w:r w:rsidRPr="002C0D18">
          <w:rPr>
            <w:rFonts w:ascii="Arial" w:hAnsi="Arial" w:cs="Arial"/>
            <w:sz w:val="16"/>
            <w:szCs w:val="16"/>
          </w:rPr>
          <w:instrText>PAGE   \* MERGEFORMAT</w:instrText>
        </w:r>
        <w:r w:rsidRPr="002C0D18">
          <w:rPr>
            <w:rFonts w:ascii="Arial" w:hAnsi="Arial" w:cs="Arial"/>
            <w:sz w:val="16"/>
            <w:szCs w:val="16"/>
          </w:rPr>
          <w:fldChar w:fldCharType="separate"/>
        </w:r>
        <w:r w:rsidR="00B43693">
          <w:rPr>
            <w:rFonts w:ascii="Arial" w:hAnsi="Arial" w:cs="Arial"/>
            <w:noProof/>
            <w:sz w:val="16"/>
            <w:szCs w:val="16"/>
          </w:rPr>
          <w:t>2</w:t>
        </w:r>
        <w:r w:rsidRPr="002C0D18">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B43693">
          <w:rPr>
            <w:rFonts w:ascii="Arial" w:hAnsi="Arial" w:cs="Arial"/>
            <w:noProof/>
            <w:sz w:val="16"/>
            <w:szCs w:val="16"/>
          </w:rPr>
          <w:t>2</w:t>
        </w:r>
        <w:r>
          <w:rPr>
            <w:rFonts w:ascii="Arial" w:hAnsi="Arial" w:cs="Arial"/>
            <w:sz w:val="16"/>
            <w:szCs w:val="16"/>
          </w:rPr>
          <w:fldChar w:fldCharType="end"/>
        </w:r>
      </w:sdtContent>
    </w:sdt>
  </w:p>
  <w:p w14:paraId="5A9F0345" w14:textId="77777777" w:rsidR="005F2EEA" w:rsidRDefault="005F2EEA" w:rsidP="00872C66">
    <w:pPr>
      <w:pStyle w:val="Piedepgina"/>
      <w:rPr>
        <w:rFonts w:ascii="Arial" w:hAnsi="Arial" w:cs="Arial"/>
        <w:sz w:val="14"/>
        <w:szCs w:val="14"/>
      </w:rPr>
    </w:pPr>
  </w:p>
  <w:p w14:paraId="0FAA46F7" w14:textId="3F7730FC" w:rsidR="00872C66" w:rsidRPr="003F6329" w:rsidRDefault="00872C66" w:rsidP="00872C66">
    <w:pPr>
      <w:pStyle w:val="Piedepgina"/>
      <w:rPr>
        <w:rFonts w:ascii="Arial" w:hAnsi="Arial" w:cs="Arial"/>
        <w:sz w:val="14"/>
        <w:szCs w:val="14"/>
      </w:rPr>
    </w:pPr>
    <w:r>
      <w:rPr>
        <w:noProof/>
      </w:rPr>
      <w:drawing>
        <wp:anchor distT="0" distB="0" distL="114300" distR="114300" simplePos="0" relativeHeight="251661312" behindDoc="0" locked="0" layoutInCell="1" allowOverlap="1" wp14:anchorId="781C15E9" wp14:editId="68817EF5">
          <wp:simplePos x="0" y="0"/>
          <wp:positionH relativeFrom="column">
            <wp:posOffset>5486400</wp:posOffset>
          </wp:positionH>
          <wp:positionV relativeFrom="paragraph">
            <wp:posOffset>11430</wp:posOffset>
          </wp:positionV>
          <wp:extent cx="704850" cy="683210"/>
          <wp:effectExtent l="0" t="0" r="0" b="3175"/>
          <wp:wrapSquare wrapText="bothSides"/>
          <wp:docPr id="1150560774" name="Imagen 1" descr="MANUAL DE IDENT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UAL DE IDENT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3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6329">
      <w:rPr>
        <w:rFonts w:ascii="Arial" w:hAnsi="Arial" w:cs="Arial"/>
        <w:sz w:val="14"/>
        <w:szCs w:val="14"/>
      </w:rPr>
      <w:t>Instituto Distrital de Recreación y Deporte</w:t>
    </w:r>
  </w:p>
  <w:p w14:paraId="12711E17" w14:textId="77777777" w:rsidR="00872C66" w:rsidRPr="003F6329" w:rsidRDefault="00872C66" w:rsidP="00872C66">
    <w:pPr>
      <w:pStyle w:val="Piedepgina"/>
      <w:rPr>
        <w:rFonts w:ascii="Arial" w:hAnsi="Arial" w:cs="Arial"/>
        <w:sz w:val="14"/>
        <w:szCs w:val="14"/>
      </w:rPr>
    </w:pPr>
    <w:r w:rsidRPr="003F6329">
      <w:rPr>
        <w:rFonts w:ascii="Arial" w:hAnsi="Arial" w:cs="Arial"/>
        <w:sz w:val="14"/>
        <w:szCs w:val="14"/>
      </w:rPr>
      <w:t>Calle 63 No. 59ª -06</w:t>
    </w:r>
  </w:p>
  <w:p w14:paraId="189C2037" w14:textId="77777777" w:rsidR="00872C66" w:rsidRPr="003F6329" w:rsidRDefault="00872C66" w:rsidP="00872C66">
    <w:pPr>
      <w:pStyle w:val="Piedepgina"/>
      <w:rPr>
        <w:rFonts w:ascii="Arial" w:hAnsi="Arial" w:cs="Arial"/>
        <w:sz w:val="14"/>
        <w:szCs w:val="14"/>
      </w:rPr>
    </w:pPr>
    <w:r w:rsidRPr="003F6329">
      <w:rPr>
        <w:rFonts w:ascii="Arial" w:hAnsi="Arial" w:cs="Arial"/>
        <w:sz w:val="14"/>
        <w:szCs w:val="14"/>
      </w:rPr>
      <w:t>Tel: 6605400</w:t>
    </w:r>
  </w:p>
  <w:p w14:paraId="388C98E0" w14:textId="77777777" w:rsidR="00872C66" w:rsidRPr="003F6329" w:rsidRDefault="00872C66" w:rsidP="00872C66">
    <w:pPr>
      <w:pStyle w:val="Piedepgina"/>
      <w:rPr>
        <w:rFonts w:ascii="Arial" w:hAnsi="Arial" w:cs="Arial"/>
        <w:sz w:val="14"/>
        <w:szCs w:val="14"/>
      </w:rPr>
    </w:pPr>
    <w:r w:rsidRPr="003F6329">
      <w:rPr>
        <w:rFonts w:ascii="Arial" w:hAnsi="Arial" w:cs="Arial"/>
        <w:sz w:val="14"/>
        <w:szCs w:val="14"/>
      </w:rPr>
      <w:t>www.idrd.gov.co</w:t>
    </w:r>
    <w:r>
      <w:rPr>
        <w:rFonts w:ascii="Arial" w:hAnsi="Arial" w:cs="Arial"/>
        <w:sz w:val="14"/>
        <w:szCs w:val="14"/>
      </w:rPr>
      <w:tab/>
    </w:r>
    <w:r>
      <w:rPr>
        <w:rFonts w:ascii="Arial" w:hAnsi="Arial" w:cs="Arial"/>
        <w:sz w:val="14"/>
        <w:szCs w:val="14"/>
      </w:rPr>
      <w:tab/>
    </w:r>
  </w:p>
  <w:p w14:paraId="2A06D150" w14:textId="04D19A60" w:rsidR="009871D5" w:rsidRDefault="00872C66" w:rsidP="00872C66">
    <w:pPr>
      <w:pStyle w:val="Piedepgina"/>
    </w:pPr>
    <w:r w:rsidRPr="003F6329">
      <w:rPr>
        <w:rFonts w:ascii="Arial" w:hAnsi="Arial" w:cs="Arial"/>
        <w:sz w:val="14"/>
        <w:szCs w:val="14"/>
      </w:rPr>
      <w:t>info: Línea 195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859D" w14:textId="77777777" w:rsidR="00C47043" w:rsidRPr="003F6329" w:rsidRDefault="00C47043" w:rsidP="00C47043">
    <w:pPr>
      <w:pStyle w:val="Piedepgina"/>
      <w:rPr>
        <w:rFonts w:ascii="Arial" w:hAnsi="Arial" w:cs="Arial"/>
        <w:sz w:val="14"/>
        <w:szCs w:val="14"/>
      </w:rPr>
    </w:pPr>
    <w:r>
      <w:rPr>
        <w:noProof/>
      </w:rPr>
      <w:drawing>
        <wp:anchor distT="0" distB="0" distL="114300" distR="114300" simplePos="0" relativeHeight="251659264" behindDoc="0" locked="0" layoutInCell="1" allowOverlap="1" wp14:anchorId="29B937D3" wp14:editId="419F561F">
          <wp:simplePos x="0" y="0"/>
          <wp:positionH relativeFrom="column">
            <wp:posOffset>5486400</wp:posOffset>
          </wp:positionH>
          <wp:positionV relativeFrom="paragraph">
            <wp:posOffset>11430</wp:posOffset>
          </wp:positionV>
          <wp:extent cx="704850" cy="683210"/>
          <wp:effectExtent l="0" t="0" r="0" b="3175"/>
          <wp:wrapSquare wrapText="bothSides"/>
          <wp:docPr id="435916360" name="Imagen 1" descr="MANUAL DE IDENT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UAL DE IDENT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3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6329">
      <w:rPr>
        <w:rFonts w:ascii="Arial" w:hAnsi="Arial" w:cs="Arial"/>
        <w:sz w:val="14"/>
        <w:szCs w:val="14"/>
      </w:rPr>
      <w:t>Instituto Distrital de Recreación y Deporte</w:t>
    </w:r>
  </w:p>
  <w:p w14:paraId="01C4B58D" w14:textId="77777777" w:rsidR="00C47043" w:rsidRPr="003F6329" w:rsidRDefault="00C47043" w:rsidP="00C47043">
    <w:pPr>
      <w:pStyle w:val="Piedepgina"/>
      <w:rPr>
        <w:rFonts w:ascii="Arial" w:hAnsi="Arial" w:cs="Arial"/>
        <w:sz w:val="14"/>
        <w:szCs w:val="14"/>
      </w:rPr>
    </w:pPr>
    <w:r w:rsidRPr="003F6329">
      <w:rPr>
        <w:rFonts w:ascii="Arial" w:hAnsi="Arial" w:cs="Arial"/>
        <w:sz w:val="14"/>
        <w:szCs w:val="14"/>
      </w:rPr>
      <w:t>Calle 63 No. 59ª -06</w:t>
    </w:r>
  </w:p>
  <w:p w14:paraId="727589B5" w14:textId="77777777" w:rsidR="00C47043" w:rsidRPr="003F6329" w:rsidRDefault="00C47043" w:rsidP="00C47043">
    <w:pPr>
      <w:pStyle w:val="Piedepgina"/>
      <w:rPr>
        <w:rFonts w:ascii="Arial" w:hAnsi="Arial" w:cs="Arial"/>
        <w:sz w:val="14"/>
        <w:szCs w:val="14"/>
      </w:rPr>
    </w:pPr>
    <w:r w:rsidRPr="003F6329">
      <w:rPr>
        <w:rFonts w:ascii="Arial" w:hAnsi="Arial" w:cs="Arial"/>
        <w:sz w:val="14"/>
        <w:szCs w:val="14"/>
      </w:rPr>
      <w:t>Tel: 6605400</w:t>
    </w:r>
  </w:p>
  <w:p w14:paraId="2230DA65" w14:textId="77777777" w:rsidR="00C47043" w:rsidRPr="003F6329" w:rsidRDefault="00C47043" w:rsidP="00C47043">
    <w:pPr>
      <w:pStyle w:val="Piedepgina"/>
      <w:rPr>
        <w:rFonts w:ascii="Arial" w:hAnsi="Arial" w:cs="Arial"/>
        <w:sz w:val="14"/>
        <w:szCs w:val="14"/>
      </w:rPr>
    </w:pPr>
    <w:r w:rsidRPr="003F6329">
      <w:rPr>
        <w:rFonts w:ascii="Arial" w:hAnsi="Arial" w:cs="Arial"/>
        <w:sz w:val="14"/>
        <w:szCs w:val="14"/>
      </w:rPr>
      <w:t>www.idrd.gov.co</w:t>
    </w:r>
    <w:r>
      <w:rPr>
        <w:rFonts w:ascii="Arial" w:hAnsi="Arial" w:cs="Arial"/>
        <w:sz w:val="14"/>
        <w:szCs w:val="14"/>
      </w:rPr>
      <w:tab/>
    </w:r>
    <w:r>
      <w:rPr>
        <w:rFonts w:ascii="Arial" w:hAnsi="Arial" w:cs="Arial"/>
        <w:sz w:val="14"/>
        <w:szCs w:val="14"/>
      </w:rPr>
      <w:tab/>
    </w:r>
  </w:p>
  <w:p w14:paraId="473725FD" w14:textId="77777777" w:rsidR="00C47043" w:rsidRDefault="00C47043" w:rsidP="00C47043">
    <w:pPr>
      <w:pStyle w:val="Piedepgina"/>
    </w:pPr>
    <w:r w:rsidRPr="003F6329">
      <w:rPr>
        <w:rFonts w:ascii="Arial" w:hAnsi="Arial" w:cs="Arial"/>
        <w:sz w:val="14"/>
        <w:szCs w:val="14"/>
      </w:rPr>
      <w:t>info: Línea 195</w:t>
    </w:r>
  </w:p>
  <w:p w14:paraId="49EA4D67" w14:textId="058805FE" w:rsidR="009871D5" w:rsidRDefault="009871D5" w:rsidP="005737EC">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BD1B" w14:textId="77777777" w:rsidR="006E25D7" w:rsidRDefault="006E25D7">
      <w:r>
        <w:rPr>
          <w:color w:val="000000"/>
        </w:rPr>
        <w:separator/>
      </w:r>
    </w:p>
  </w:footnote>
  <w:footnote w:type="continuationSeparator" w:id="0">
    <w:p w14:paraId="5E1444DF" w14:textId="77777777" w:rsidR="006E25D7" w:rsidRDefault="006E25D7">
      <w:r>
        <w:continuationSeparator/>
      </w:r>
    </w:p>
  </w:footnote>
  <w:footnote w:id="1">
    <w:p w14:paraId="6EA5E3A0" w14:textId="77777777" w:rsidR="00C32049" w:rsidRPr="00FD0126" w:rsidRDefault="00C32049" w:rsidP="00C32049">
      <w:pPr>
        <w:pStyle w:val="Textonotapie"/>
        <w:rPr>
          <w:lang w:val="es-CO"/>
        </w:rPr>
      </w:pPr>
      <w:r>
        <w:rPr>
          <w:rStyle w:val="Refdenotaalpie"/>
        </w:rPr>
        <w:footnoteRef/>
      </w:r>
      <w:r>
        <w:t xml:space="preserve"> </w:t>
      </w:r>
      <w:r w:rsidRPr="00FD0126">
        <w:rPr>
          <w:lang w:val="es-CO"/>
        </w:rPr>
        <w:t>C-104 de 2025</w:t>
      </w:r>
      <w:r>
        <w:rPr>
          <w:lang w:val="es-CO"/>
        </w:rPr>
        <w:t>.</w:t>
      </w:r>
    </w:p>
    <w:p w14:paraId="6D1A5FDE" w14:textId="77777777" w:rsidR="00C32049" w:rsidRPr="00FD0126" w:rsidRDefault="00C32049" w:rsidP="00C32049">
      <w:pPr>
        <w:pStyle w:val="Textonotapie"/>
        <w:rPr>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B6B7" w14:textId="77777777" w:rsidR="009871D5" w:rsidRDefault="009871D5">
    <w:pPr>
      <w:pStyle w:val="Heading"/>
      <w:jc w:val="center"/>
    </w:pPr>
    <w:r w:rsidRPr="0070452C">
      <w:rPr>
        <w:noProof/>
        <w:lang w:val="es-CO" w:eastAsia="es-CO"/>
      </w:rPr>
      <w:drawing>
        <wp:inline distT="0" distB="0" distL="0" distR="0" wp14:anchorId="34B45153" wp14:editId="04A0ABFB">
          <wp:extent cx="5613400" cy="454922"/>
          <wp:effectExtent l="0" t="0" r="0" b="254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454922"/>
                  </a:xfrm>
                  <a:prstGeom prst="rect">
                    <a:avLst/>
                  </a:prstGeom>
                  <a:noFill/>
                  <a:ln>
                    <a:noFill/>
                  </a:ln>
                </pic:spPr>
              </pic:pic>
            </a:graphicData>
          </a:graphic>
        </wp:inline>
      </w:drawing>
    </w:r>
  </w:p>
  <w:p w14:paraId="751146CB" w14:textId="77777777" w:rsidR="009871D5" w:rsidRDefault="009871D5">
    <w:pPr>
      <w:pStyle w:val="Head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13C9" w14:textId="77777777" w:rsidR="009871D5" w:rsidRDefault="009871D5" w:rsidP="0070452C">
    <w:pPr>
      <w:pStyle w:val="Encabezado"/>
      <w:tabs>
        <w:tab w:val="clear" w:pos="4986"/>
      </w:tabs>
      <w:jc w:val="center"/>
    </w:pPr>
    <w:r w:rsidRPr="0070452C">
      <w:rPr>
        <w:noProof/>
        <w:lang w:eastAsia="es-CO"/>
      </w:rPr>
      <w:drawing>
        <wp:inline distT="0" distB="0" distL="0" distR="0" wp14:anchorId="52CF30C1" wp14:editId="0368FCCD">
          <wp:extent cx="5613400" cy="454922"/>
          <wp:effectExtent l="0" t="0" r="0" b="254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454922"/>
                  </a:xfrm>
                  <a:prstGeom prst="rect">
                    <a:avLst/>
                  </a:prstGeom>
                  <a:noFill/>
                  <a:ln>
                    <a:noFill/>
                  </a:ln>
                </pic:spPr>
              </pic:pic>
            </a:graphicData>
          </a:graphic>
        </wp:inline>
      </w:drawing>
    </w:r>
  </w:p>
  <w:p w14:paraId="44B2B766" w14:textId="77777777" w:rsidR="009871D5" w:rsidRDefault="009871D5" w:rsidP="0070452C">
    <w:pPr>
      <w:pStyle w:val="Encabezado"/>
      <w:tabs>
        <w:tab w:val="clear" w:pos="4986"/>
      </w:tabs>
      <w:jc w:val="center"/>
    </w:pPr>
  </w:p>
  <w:p w14:paraId="1732926F" w14:textId="77777777" w:rsidR="009871D5" w:rsidRDefault="009871D5" w:rsidP="0070452C">
    <w:pPr>
      <w:pStyle w:val="Encabezado"/>
      <w:tabs>
        <w:tab w:val="clear" w:pos="498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53687"/>
    <w:multiLevelType w:val="hybridMultilevel"/>
    <w:tmpl w:val="21B0C140"/>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35E971A3"/>
    <w:multiLevelType w:val="multilevel"/>
    <w:tmpl w:val="15663752"/>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C25D33"/>
    <w:multiLevelType w:val="hybridMultilevel"/>
    <w:tmpl w:val="7DA6E71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3928057E"/>
    <w:multiLevelType w:val="multilevel"/>
    <w:tmpl w:val="A7B68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proofState w:spelling="clean" w:grammar="clean"/>
  <w:documentProtection w:edit="forms" w:enforcement="1" w:cryptProviderType="rsaAES" w:cryptAlgorithmClass="hash" w:cryptAlgorithmType="typeAny" w:cryptAlgorithmSid="14" w:cryptSpinCount="100000" w:hash="UqeZCrgi4JDfa84S2o4j3E59GueznRHqgbZZu/i6r8imA59dI75oxdE2T3pzxKn0NPn9crzKPdnDyLkoheHapw==" w:salt="zyKn7P/dANYE2huplVMOW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18"/>
    <w:rsid w:val="00010E47"/>
    <w:rsid w:val="000129D0"/>
    <w:rsid w:val="000178D4"/>
    <w:rsid w:val="00040E9A"/>
    <w:rsid w:val="0007653D"/>
    <w:rsid w:val="00081890"/>
    <w:rsid w:val="00096AD3"/>
    <w:rsid w:val="000A4E37"/>
    <w:rsid w:val="000E0596"/>
    <w:rsid w:val="000F4036"/>
    <w:rsid w:val="00103F20"/>
    <w:rsid w:val="001041B9"/>
    <w:rsid w:val="00122F24"/>
    <w:rsid w:val="0012370C"/>
    <w:rsid w:val="0014010C"/>
    <w:rsid w:val="00145D9F"/>
    <w:rsid w:val="001507CC"/>
    <w:rsid w:val="00176802"/>
    <w:rsid w:val="0018442B"/>
    <w:rsid w:val="0018592C"/>
    <w:rsid w:val="001947B4"/>
    <w:rsid w:val="001B5536"/>
    <w:rsid w:val="001B659D"/>
    <w:rsid w:val="001D0676"/>
    <w:rsid w:val="001F0FA0"/>
    <w:rsid w:val="001F7063"/>
    <w:rsid w:val="00204518"/>
    <w:rsid w:val="002173F6"/>
    <w:rsid w:val="00217C27"/>
    <w:rsid w:val="002239B7"/>
    <w:rsid w:val="0023209E"/>
    <w:rsid w:val="002352E5"/>
    <w:rsid w:val="00245452"/>
    <w:rsid w:val="00260A95"/>
    <w:rsid w:val="002653D4"/>
    <w:rsid w:val="00265C18"/>
    <w:rsid w:val="002704BF"/>
    <w:rsid w:val="00273F86"/>
    <w:rsid w:val="00281BE4"/>
    <w:rsid w:val="002961B3"/>
    <w:rsid w:val="002A0CE7"/>
    <w:rsid w:val="002A3642"/>
    <w:rsid w:val="002A6677"/>
    <w:rsid w:val="002C0D18"/>
    <w:rsid w:val="002C35EE"/>
    <w:rsid w:val="002D3FA2"/>
    <w:rsid w:val="002F1468"/>
    <w:rsid w:val="00316841"/>
    <w:rsid w:val="00316A2B"/>
    <w:rsid w:val="003205CE"/>
    <w:rsid w:val="00336356"/>
    <w:rsid w:val="00352027"/>
    <w:rsid w:val="00397EB3"/>
    <w:rsid w:val="003A04AA"/>
    <w:rsid w:val="003C1835"/>
    <w:rsid w:val="003C18E6"/>
    <w:rsid w:val="003D5156"/>
    <w:rsid w:val="003E1B76"/>
    <w:rsid w:val="004123FE"/>
    <w:rsid w:val="004256D4"/>
    <w:rsid w:val="00431A64"/>
    <w:rsid w:val="0047514A"/>
    <w:rsid w:val="004C125E"/>
    <w:rsid w:val="004D316A"/>
    <w:rsid w:val="004E1186"/>
    <w:rsid w:val="004E5686"/>
    <w:rsid w:val="00510C13"/>
    <w:rsid w:val="005118E2"/>
    <w:rsid w:val="00517BC2"/>
    <w:rsid w:val="00522E73"/>
    <w:rsid w:val="00525D11"/>
    <w:rsid w:val="00526C0B"/>
    <w:rsid w:val="005404BF"/>
    <w:rsid w:val="005737EC"/>
    <w:rsid w:val="005A2797"/>
    <w:rsid w:val="005A339D"/>
    <w:rsid w:val="005A7CF3"/>
    <w:rsid w:val="005D5692"/>
    <w:rsid w:val="005D5F9A"/>
    <w:rsid w:val="005F2EEA"/>
    <w:rsid w:val="0061173A"/>
    <w:rsid w:val="00634C21"/>
    <w:rsid w:val="00641C14"/>
    <w:rsid w:val="00660ECD"/>
    <w:rsid w:val="0067046C"/>
    <w:rsid w:val="0069070F"/>
    <w:rsid w:val="006D40E1"/>
    <w:rsid w:val="006D4103"/>
    <w:rsid w:val="006D663A"/>
    <w:rsid w:val="006D7CFE"/>
    <w:rsid w:val="006E25D7"/>
    <w:rsid w:val="006E37D0"/>
    <w:rsid w:val="006E570D"/>
    <w:rsid w:val="006F53B4"/>
    <w:rsid w:val="0070452C"/>
    <w:rsid w:val="00715CD5"/>
    <w:rsid w:val="007175E3"/>
    <w:rsid w:val="00741D6E"/>
    <w:rsid w:val="00751360"/>
    <w:rsid w:val="0075374E"/>
    <w:rsid w:val="00776577"/>
    <w:rsid w:val="00781521"/>
    <w:rsid w:val="00781E9B"/>
    <w:rsid w:val="00783C67"/>
    <w:rsid w:val="007A302E"/>
    <w:rsid w:val="007A4B0C"/>
    <w:rsid w:val="007A7EA2"/>
    <w:rsid w:val="007D7F92"/>
    <w:rsid w:val="00810F52"/>
    <w:rsid w:val="00816E1B"/>
    <w:rsid w:val="00827391"/>
    <w:rsid w:val="00840480"/>
    <w:rsid w:val="00850EF6"/>
    <w:rsid w:val="008525FE"/>
    <w:rsid w:val="0087282F"/>
    <w:rsid w:val="00872C66"/>
    <w:rsid w:val="0087631B"/>
    <w:rsid w:val="00885AD0"/>
    <w:rsid w:val="00897E9E"/>
    <w:rsid w:val="008A04F5"/>
    <w:rsid w:val="008A0809"/>
    <w:rsid w:val="008A2BF4"/>
    <w:rsid w:val="008B7264"/>
    <w:rsid w:val="008D2773"/>
    <w:rsid w:val="008D7EC0"/>
    <w:rsid w:val="008E3674"/>
    <w:rsid w:val="00906120"/>
    <w:rsid w:val="009101BE"/>
    <w:rsid w:val="00915FCB"/>
    <w:rsid w:val="009214A2"/>
    <w:rsid w:val="00931DA2"/>
    <w:rsid w:val="0093359F"/>
    <w:rsid w:val="00951AFB"/>
    <w:rsid w:val="00975D2B"/>
    <w:rsid w:val="00980E6C"/>
    <w:rsid w:val="009871D5"/>
    <w:rsid w:val="00995FD4"/>
    <w:rsid w:val="009C17A6"/>
    <w:rsid w:val="009C257A"/>
    <w:rsid w:val="009C6BAE"/>
    <w:rsid w:val="009D33A9"/>
    <w:rsid w:val="009E4FE4"/>
    <w:rsid w:val="009E68FC"/>
    <w:rsid w:val="00A006F3"/>
    <w:rsid w:val="00A0077D"/>
    <w:rsid w:val="00A14BE5"/>
    <w:rsid w:val="00A15996"/>
    <w:rsid w:val="00A20E6A"/>
    <w:rsid w:val="00A3053F"/>
    <w:rsid w:val="00A34E92"/>
    <w:rsid w:val="00A35D3F"/>
    <w:rsid w:val="00A768F6"/>
    <w:rsid w:val="00A8307D"/>
    <w:rsid w:val="00A85EEE"/>
    <w:rsid w:val="00A908E2"/>
    <w:rsid w:val="00AB3DC0"/>
    <w:rsid w:val="00AC4DA0"/>
    <w:rsid w:val="00AC7CE7"/>
    <w:rsid w:val="00AD3306"/>
    <w:rsid w:val="00B24D97"/>
    <w:rsid w:val="00B43693"/>
    <w:rsid w:val="00B47EEF"/>
    <w:rsid w:val="00BA281E"/>
    <w:rsid w:val="00BB0C8B"/>
    <w:rsid w:val="00BB6269"/>
    <w:rsid w:val="00C31977"/>
    <w:rsid w:val="00C32049"/>
    <w:rsid w:val="00C3768C"/>
    <w:rsid w:val="00C47043"/>
    <w:rsid w:val="00C50046"/>
    <w:rsid w:val="00C60004"/>
    <w:rsid w:val="00C64DC6"/>
    <w:rsid w:val="00C657A0"/>
    <w:rsid w:val="00C66056"/>
    <w:rsid w:val="00C7515C"/>
    <w:rsid w:val="00C763D1"/>
    <w:rsid w:val="00C83854"/>
    <w:rsid w:val="00C91977"/>
    <w:rsid w:val="00CA561A"/>
    <w:rsid w:val="00CC000C"/>
    <w:rsid w:val="00CC438C"/>
    <w:rsid w:val="00CE78F6"/>
    <w:rsid w:val="00D066AE"/>
    <w:rsid w:val="00D53CC8"/>
    <w:rsid w:val="00D53DDF"/>
    <w:rsid w:val="00D56C66"/>
    <w:rsid w:val="00D635CA"/>
    <w:rsid w:val="00D67771"/>
    <w:rsid w:val="00D712EB"/>
    <w:rsid w:val="00D93BE1"/>
    <w:rsid w:val="00DB41E7"/>
    <w:rsid w:val="00DC03AD"/>
    <w:rsid w:val="00DC6072"/>
    <w:rsid w:val="00DD163E"/>
    <w:rsid w:val="00DD3888"/>
    <w:rsid w:val="00DE5DFF"/>
    <w:rsid w:val="00DE76D4"/>
    <w:rsid w:val="00DF6983"/>
    <w:rsid w:val="00DF7ADA"/>
    <w:rsid w:val="00E05776"/>
    <w:rsid w:val="00E11F8C"/>
    <w:rsid w:val="00E20CF4"/>
    <w:rsid w:val="00E2103F"/>
    <w:rsid w:val="00E31D9D"/>
    <w:rsid w:val="00E325D4"/>
    <w:rsid w:val="00E45DDF"/>
    <w:rsid w:val="00E532C6"/>
    <w:rsid w:val="00E7193C"/>
    <w:rsid w:val="00E909C3"/>
    <w:rsid w:val="00E93B13"/>
    <w:rsid w:val="00E964AC"/>
    <w:rsid w:val="00EB4E18"/>
    <w:rsid w:val="00EB50B3"/>
    <w:rsid w:val="00EC5DED"/>
    <w:rsid w:val="00F00789"/>
    <w:rsid w:val="00F31A11"/>
    <w:rsid w:val="00F40181"/>
    <w:rsid w:val="00F443F2"/>
    <w:rsid w:val="00F574A8"/>
    <w:rsid w:val="00F94FF2"/>
    <w:rsid w:val="00F95B9D"/>
    <w:rsid w:val="00FA27A5"/>
    <w:rsid w:val="00FB1194"/>
    <w:rsid w:val="00FB6633"/>
    <w:rsid w:val="00FC305C"/>
    <w:rsid w:val="00FD0CA0"/>
    <w:rsid w:val="00FD2A7C"/>
    <w:rsid w:val="00FD2E8B"/>
    <w:rsid w:val="00FE4C47"/>
    <w:rsid w:val="00FF5D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37FA6"/>
  <w15:docId w15:val="{5A662EC4-D004-4DB3-8252-B16D2F5E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sz w:val="24"/>
      <w:szCs w:val="24"/>
      <w:lang w:val="es-ES" w:eastAsia="es-ES"/>
    </w:rPr>
  </w:style>
  <w:style w:type="paragraph" w:styleId="Ttulo1">
    <w:name w:val="heading 1"/>
    <w:basedOn w:val="Normal"/>
    <w:next w:val="Normal"/>
    <w:pPr>
      <w:keepNext/>
      <w:jc w:val="right"/>
      <w:outlineLvl w:val="0"/>
    </w:pPr>
    <w:rPr>
      <w:rFonts w:ascii="Arial Narrow" w:eastAsia="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pPr>
    <w:rPr>
      <w:kern w:val="3"/>
      <w:lang w:eastAsia="zh-CN"/>
    </w:rPr>
  </w:style>
  <w:style w:type="paragraph" w:customStyle="1" w:styleId="Heading">
    <w:name w:val="Heading"/>
    <w:basedOn w:val="Normal"/>
    <w:pPr>
      <w:tabs>
        <w:tab w:val="center" w:pos="4252"/>
        <w:tab w:val="right" w:pos="8504"/>
      </w:tabs>
    </w:pPr>
  </w:style>
  <w:style w:type="paragraph" w:customStyle="1" w:styleId="Textbody">
    <w:name w:val="Text body"/>
    <w:basedOn w:val="Standard"/>
    <w:pPr>
      <w:spacing w:after="140" w:line="288" w:lineRule="auto"/>
    </w:pPr>
  </w:style>
  <w:style w:type="paragraph" w:styleId="Piedepgina">
    <w:name w:val="footer"/>
    <w:basedOn w:val="Normal"/>
    <w:uiPriority w:val="99"/>
    <w:pPr>
      <w:tabs>
        <w:tab w:val="center" w:pos="4252"/>
        <w:tab w:val="right" w:pos="8504"/>
      </w:tabs>
    </w:pPr>
  </w:style>
  <w:style w:type="paragraph" w:styleId="Prrafodelista">
    <w:name w:val="List Paragraph"/>
    <w:basedOn w:val="Normal"/>
    <w:qFormat/>
    <w:pPr>
      <w:spacing w:after="200" w:line="276" w:lineRule="auto"/>
      <w:ind w:left="720"/>
    </w:pPr>
    <w:rPr>
      <w:rFonts w:ascii="Calibri" w:eastAsia="Calibri" w:hAnsi="Calibri" w:cs="Calibri"/>
      <w:sz w:val="22"/>
      <w:szCs w:val="22"/>
      <w:lang w:val="es-CO" w:eastAsia="en-US"/>
    </w:rPr>
  </w:style>
  <w:style w:type="paragraph" w:styleId="NormalWeb">
    <w:name w:val="Normal (Web)"/>
    <w:basedOn w:val="Normal"/>
    <w:uiPriority w:val="99"/>
    <w:pPr>
      <w:spacing w:before="100" w:after="100"/>
    </w:pPr>
    <w:rPr>
      <w:lang w:val="es-CO" w:eastAsia="es-CO"/>
    </w:rPr>
  </w:style>
  <w:style w:type="paragraph" w:styleId="Textoindependiente">
    <w:name w:val="Body Text"/>
    <w:basedOn w:val="Normal"/>
    <w:pPr>
      <w:jc w:val="both"/>
    </w:pPr>
    <w:rPr>
      <w:rFonts w:ascii="Arial" w:eastAsia="Arial" w:hAnsi="Arial" w:cs="Arial"/>
    </w:rPr>
  </w:style>
  <w:style w:type="paragraph" w:styleId="Textodeglobo">
    <w:name w:val="Balloon Text"/>
    <w:basedOn w:val="Normal"/>
    <w:rPr>
      <w:rFonts w:ascii="Tahoma" w:eastAsia="Tahoma" w:hAnsi="Tahoma" w:cs="Tahoma"/>
      <w:sz w:val="16"/>
      <w:szCs w:val="16"/>
    </w:rPr>
  </w:style>
  <w:style w:type="paragraph" w:styleId="Encabezado">
    <w:name w:val="header"/>
    <w:basedOn w:val="Standard"/>
    <w:pPr>
      <w:suppressLineNumbers/>
      <w:tabs>
        <w:tab w:val="center" w:pos="4986"/>
        <w:tab w:val="right" w:pos="9972"/>
      </w:tabs>
    </w:pPr>
  </w:style>
  <w:style w:type="character" w:styleId="Hipervnculo">
    <w:name w:val="Hyperlink"/>
    <w:basedOn w:val="Fuentedeprrafopredeter"/>
    <w:rPr>
      <w:rFonts w:cs="Times New Roman"/>
      <w:color w:val="0000FF"/>
      <w:u w:val="single"/>
    </w:rPr>
  </w:style>
  <w:style w:type="character" w:customStyle="1" w:styleId="TextoindependienteCar">
    <w:name w:val="Texto independiente Car"/>
    <w:basedOn w:val="Fuentedeprrafopredeter"/>
    <w:rPr>
      <w:rFonts w:ascii="Arial" w:eastAsia="Arial" w:hAnsi="Arial" w:cs="Arial"/>
      <w:sz w:val="24"/>
      <w:szCs w:val="24"/>
      <w:lang w:val="es-ES" w:eastAsia="es-ES" w:bidi="ar-SA"/>
    </w:rPr>
  </w:style>
  <w:style w:type="character" w:customStyle="1" w:styleId="EncabezadoCar">
    <w:name w:val="Encabezado Car"/>
    <w:basedOn w:val="Fuentedeprrafopredeter"/>
    <w:rPr>
      <w:sz w:val="24"/>
      <w:szCs w:val="24"/>
      <w:lang w:val="es-ES" w:eastAsia="es-ES"/>
    </w:rPr>
  </w:style>
  <w:style w:type="character" w:customStyle="1" w:styleId="TextodegloboCar">
    <w:name w:val="Texto de globo Car"/>
    <w:basedOn w:val="Fuentedeprrafopredeter"/>
    <w:rPr>
      <w:rFonts w:ascii="Tahoma" w:eastAsia="Tahoma" w:hAnsi="Tahoma" w:cs="Tahoma"/>
      <w:sz w:val="16"/>
      <w:szCs w:val="16"/>
      <w:lang w:val="es-ES" w:eastAsia="es-ES"/>
    </w:rPr>
  </w:style>
  <w:style w:type="character" w:styleId="Textoennegrita">
    <w:name w:val="Strong"/>
    <w:basedOn w:val="Fuentedeprrafopredeter"/>
    <w:rPr>
      <w:b/>
      <w:bCs/>
    </w:rPr>
  </w:style>
  <w:style w:type="character" w:customStyle="1" w:styleId="PiedepginaCar">
    <w:name w:val="Pie de página Car"/>
    <w:basedOn w:val="Fuentedeprrafopredeter"/>
    <w:uiPriority w:val="99"/>
    <w:rPr>
      <w:sz w:val="24"/>
      <w:szCs w:val="24"/>
      <w:lang w:val="es-ES" w:eastAsia="es-ES"/>
    </w:rPr>
  </w:style>
  <w:style w:type="table" w:styleId="Tablaconcuadrcula">
    <w:name w:val="Table Grid"/>
    <w:basedOn w:val="Tablanormal"/>
    <w:uiPriority w:val="39"/>
    <w:rsid w:val="00E057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4256D4"/>
    <w:rPr>
      <w:color w:val="808080"/>
    </w:rPr>
  </w:style>
  <w:style w:type="paragraph" w:styleId="Textonotapie">
    <w:name w:val="footnote text"/>
    <w:basedOn w:val="Normal"/>
    <w:link w:val="TextonotapieCar"/>
    <w:uiPriority w:val="99"/>
    <w:semiHidden/>
    <w:unhideWhenUsed/>
    <w:rsid w:val="00C32049"/>
    <w:rPr>
      <w:sz w:val="20"/>
      <w:szCs w:val="20"/>
    </w:rPr>
  </w:style>
  <w:style w:type="character" w:customStyle="1" w:styleId="TextonotapieCar">
    <w:name w:val="Texto nota pie Car"/>
    <w:basedOn w:val="Fuentedeprrafopredeter"/>
    <w:link w:val="Textonotapie"/>
    <w:uiPriority w:val="99"/>
    <w:semiHidden/>
    <w:rsid w:val="00C32049"/>
    <w:rPr>
      <w:lang w:val="es-ES" w:eastAsia="es-ES"/>
    </w:rPr>
  </w:style>
  <w:style w:type="character" w:styleId="Refdenotaalpie">
    <w:name w:val="footnote reference"/>
    <w:basedOn w:val="Fuentedeprrafopredeter"/>
    <w:uiPriority w:val="99"/>
    <w:semiHidden/>
    <w:unhideWhenUsed/>
    <w:rsid w:val="00C320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426248">
      <w:bodyDiv w:val="1"/>
      <w:marLeft w:val="0"/>
      <w:marRight w:val="0"/>
      <w:marTop w:val="0"/>
      <w:marBottom w:val="0"/>
      <w:divBdr>
        <w:top w:val="none" w:sz="0" w:space="0" w:color="auto"/>
        <w:left w:val="none" w:sz="0" w:space="0" w:color="auto"/>
        <w:bottom w:val="none" w:sz="0" w:space="0" w:color="auto"/>
        <w:right w:val="none" w:sz="0" w:space="0" w:color="auto"/>
      </w:divBdr>
    </w:div>
    <w:div w:id="1261719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C5685DF5-8315-4E6B-9E3F-2D6987039AF8}"/>
      </w:docPartPr>
      <w:docPartBody>
        <w:p w:rsidR="0041392B" w:rsidRDefault="00E57A88">
          <w:r w:rsidRPr="00EB1D8A">
            <w:rPr>
              <w:rStyle w:val="Textodelmarcadordeposicin"/>
            </w:rPr>
            <w:t>Haga clic o pulse aquí para escribir texto.</w:t>
          </w:r>
        </w:p>
      </w:docPartBody>
    </w:docPart>
    <w:docPart>
      <w:docPartPr>
        <w:name w:val="EAD9747B2B1B4530A14B038D1799A2AF"/>
        <w:category>
          <w:name w:val="General"/>
          <w:gallery w:val="placeholder"/>
        </w:category>
        <w:types>
          <w:type w:val="bbPlcHdr"/>
        </w:types>
        <w:behaviors>
          <w:behavior w:val="content"/>
        </w:behaviors>
        <w:guid w:val="{E9C90742-BCB5-4891-907F-459FC9F3C677}"/>
      </w:docPartPr>
      <w:docPartBody>
        <w:p w:rsidR="00954379" w:rsidRDefault="00446DE9" w:rsidP="00446DE9">
          <w:pPr>
            <w:pStyle w:val="EAD9747B2B1B4530A14B038D1799A2AF"/>
          </w:pPr>
          <w:r w:rsidRPr="00EB1D8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A88"/>
    <w:rsid w:val="00065C52"/>
    <w:rsid w:val="000947EF"/>
    <w:rsid w:val="000B4EDA"/>
    <w:rsid w:val="00206FDA"/>
    <w:rsid w:val="00267490"/>
    <w:rsid w:val="00282986"/>
    <w:rsid w:val="002A58BD"/>
    <w:rsid w:val="002B2E8A"/>
    <w:rsid w:val="00306838"/>
    <w:rsid w:val="003C7E0A"/>
    <w:rsid w:val="0041392B"/>
    <w:rsid w:val="004438BB"/>
    <w:rsid w:val="00446DE9"/>
    <w:rsid w:val="00505B81"/>
    <w:rsid w:val="00565EA4"/>
    <w:rsid w:val="005C0880"/>
    <w:rsid w:val="006E6536"/>
    <w:rsid w:val="007A302E"/>
    <w:rsid w:val="007A56A6"/>
    <w:rsid w:val="007C2CC2"/>
    <w:rsid w:val="008C7504"/>
    <w:rsid w:val="00951AFB"/>
    <w:rsid w:val="00954379"/>
    <w:rsid w:val="009A51A2"/>
    <w:rsid w:val="009C6BAE"/>
    <w:rsid w:val="009D7EEE"/>
    <w:rsid w:val="00A70DF4"/>
    <w:rsid w:val="00AD7295"/>
    <w:rsid w:val="00B452DB"/>
    <w:rsid w:val="00C65881"/>
    <w:rsid w:val="00C849B2"/>
    <w:rsid w:val="00CA7AC0"/>
    <w:rsid w:val="00CD2ECF"/>
    <w:rsid w:val="00D73687"/>
    <w:rsid w:val="00D95E94"/>
    <w:rsid w:val="00DC6072"/>
    <w:rsid w:val="00DD3A8B"/>
    <w:rsid w:val="00DE3DEA"/>
    <w:rsid w:val="00E57A88"/>
    <w:rsid w:val="00EC76BB"/>
    <w:rsid w:val="00F067A8"/>
    <w:rsid w:val="00F211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46DE9"/>
    <w:rPr>
      <w:color w:val="808080"/>
    </w:rPr>
  </w:style>
  <w:style w:type="paragraph" w:customStyle="1" w:styleId="EAD9747B2B1B4530A14B038D1799A2AF">
    <w:name w:val="EAD9747B2B1B4530A14B038D1799A2AF"/>
    <w:rsid w:val="00446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BE6C4-0747-4C65-8701-3A623DA0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2983</Words>
  <Characters>16408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Bogotá,  enero de 2011</vt:lpstr>
    </vt:vector>
  </TitlesOfParts>
  <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enero de 2011</dc:title>
  <dc:creator>rpardo</dc:creator>
  <cp:lastModifiedBy>tabata guerrero ramirez</cp:lastModifiedBy>
  <cp:revision>2</cp:revision>
  <cp:lastPrinted>2020-01-03T20:57:00Z</cp:lastPrinted>
  <dcterms:created xsi:type="dcterms:W3CDTF">2026-05-06T16:33:00Z</dcterms:created>
  <dcterms:modified xsi:type="dcterms:W3CDTF">2026-05-06T16:33:00Z</dcterms:modified>
</cp:coreProperties>
</file>